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5"/>
        <w:gridCol w:w="5423"/>
      </w:tblGrid>
      <w:tr w:rsidR="00EB214E" w:rsidRPr="0050620F" w:rsidTr="006B790C">
        <w:tc>
          <w:tcPr>
            <w:tcW w:w="5845" w:type="dxa"/>
            <w:shd w:val="clear" w:color="auto" w:fill="D9D9D9" w:themeFill="background1" w:themeFillShade="D9"/>
          </w:tcPr>
          <w:p w:rsidR="00EB214E" w:rsidRPr="00B90646" w:rsidRDefault="00542BCE" w:rsidP="00542BCE">
            <w:pPr>
              <w:tabs>
                <w:tab w:val="left" w:pos="0"/>
                <w:tab w:val="center" w:pos="2630"/>
              </w:tabs>
              <w:spacing w:line="280" w:lineRule="exact"/>
              <w:rPr>
                <w:rFonts w:ascii="Arial Unicode MS" w:eastAsia="Arial Unicode MS" w:hAnsi="Arial Unicode MS" w:cs="Arial Unicode MS"/>
                <w:b/>
                <w:bCs/>
                <w:color w:val="595959" w:themeColor="text1" w:themeTint="A6"/>
              </w:rPr>
            </w:pPr>
            <w:bookmarkStart w:id="0" w:name="_GoBack"/>
            <w:bookmarkEnd w:id="0"/>
            <w:r>
              <w:rPr>
                <w:rFonts w:ascii="Arial Unicode MS" w:eastAsia="Arial Unicode MS" w:hAnsi="Arial Unicode MS" w:cs="Arial Unicode MS"/>
                <w:b/>
                <w:bCs/>
                <w:color w:val="595959" w:themeColor="text1" w:themeTint="A6"/>
              </w:rPr>
              <w:t xml:space="preserve">Terms </w:t>
            </w:r>
            <w:r w:rsidR="00F23920">
              <w:rPr>
                <w:rFonts w:ascii="Arial Unicode MS" w:eastAsia="Arial Unicode MS" w:hAnsi="Arial Unicode MS" w:cs="Arial Unicode MS"/>
                <w:b/>
                <w:bCs/>
                <w:color w:val="595959" w:themeColor="text1" w:themeTint="A6"/>
              </w:rPr>
              <w:t xml:space="preserve">and Conditions </w:t>
            </w:r>
          </w:p>
        </w:tc>
        <w:tc>
          <w:tcPr>
            <w:tcW w:w="5423" w:type="dxa"/>
            <w:shd w:val="clear" w:color="auto" w:fill="D9D9D9" w:themeFill="background1" w:themeFillShade="D9"/>
          </w:tcPr>
          <w:p w:rsidR="00EB214E" w:rsidRPr="00B90646" w:rsidRDefault="00542BCE" w:rsidP="00357849">
            <w:pPr>
              <w:tabs>
                <w:tab w:val="left" w:pos="0"/>
              </w:tabs>
              <w:spacing w:line="280" w:lineRule="exact"/>
              <w:jc w:val="right"/>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hint="cs"/>
                <w:b/>
                <w:bCs/>
                <w:color w:val="595959" w:themeColor="text1" w:themeTint="A6"/>
                <w:rtl/>
              </w:rPr>
              <w:t xml:space="preserve">الشروط والأحكام </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1-</w:t>
            </w:r>
            <w:r w:rsidRPr="004A3B26">
              <w:rPr>
                <w:rFonts w:ascii="Arial Unicode MS" w:eastAsia="Arial Unicode MS" w:hAnsi="Arial Unicode MS" w:cs="Arial Unicode MS" w:hint="eastAsia"/>
                <w:color w:val="595959"/>
                <w:sz w:val="18"/>
                <w:szCs w:val="18"/>
              </w:rPr>
              <w:t>The Saudi Investment Bank (“Bank”) will execut</w:t>
            </w:r>
            <w:r w:rsidR="00F23920" w:rsidRPr="004A3B26">
              <w:rPr>
                <w:rFonts w:ascii="Arial Unicode MS" w:eastAsia="Arial Unicode MS" w:hAnsi="Arial Unicode MS" w:cs="Arial Unicode MS" w:hint="eastAsia"/>
                <w:color w:val="595959"/>
                <w:sz w:val="18"/>
                <w:szCs w:val="18"/>
              </w:rPr>
              <w:t>e the transfer subject to funds</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availability in customer account.</w:t>
            </w:r>
          </w:p>
        </w:tc>
        <w:tc>
          <w:tcPr>
            <w:tcW w:w="5423" w:type="dxa"/>
            <w:shd w:val="clear" w:color="auto" w:fill="auto"/>
          </w:tcPr>
          <w:p w:rsidR="00542BCE" w:rsidRPr="004A3B26" w:rsidRDefault="00542BCE" w:rsidP="004A3B26">
            <w:pPr>
              <w:pStyle w:val="ListParagraph"/>
              <w:numPr>
                <w:ilvl w:val="0"/>
                <w:numId w:val="3"/>
              </w:numPr>
              <w:tabs>
                <w:tab w:val="left" w:pos="185"/>
                <w:tab w:val="right" w:pos="275"/>
                <w:tab w:val="right" w:pos="45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cs"/>
                <w:color w:val="595959" w:themeColor="text1" w:themeTint="A6"/>
                <w:sz w:val="18"/>
                <w:szCs w:val="18"/>
                <w:rtl/>
              </w:rPr>
              <w:t>ينفذ</w:t>
            </w:r>
            <w:r w:rsidRPr="004A3B26">
              <w:rPr>
                <w:rFonts w:ascii="Arial Unicode MS" w:eastAsia="Arial Unicode MS" w:hAnsi="Arial Unicode MS" w:cs="Arial Unicode MS" w:hint="eastAsia"/>
                <w:color w:val="595959"/>
                <w:sz w:val="18"/>
                <w:szCs w:val="18"/>
                <w:rtl/>
              </w:rPr>
              <w:t xml:space="preserve"> البنك السعودي للاستثمار ("البنك") الحوالة المالية في حال توفر المبالغ المطلوبة في حساب العميل</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2-</w:t>
            </w:r>
            <w:r w:rsidRPr="004A3B26">
              <w:rPr>
                <w:rFonts w:ascii="Arial Unicode MS" w:eastAsia="Arial Unicode MS" w:hAnsi="Arial Unicode MS" w:cs="Arial Unicode MS" w:hint="eastAsia"/>
                <w:color w:val="595959"/>
                <w:sz w:val="18"/>
                <w:szCs w:val="18"/>
              </w:rPr>
              <w:t>The Bank may at its sole discretion eng</w:t>
            </w:r>
            <w:r w:rsidR="004A3B26" w:rsidRPr="004A3B26">
              <w:rPr>
                <w:rFonts w:ascii="Arial Unicode MS" w:eastAsia="Arial Unicode MS" w:hAnsi="Arial Unicode MS" w:cs="Arial Unicode MS" w:hint="eastAsia"/>
                <w:color w:val="595959"/>
                <w:sz w:val="18"/>
                <w:szCs w:val="18"/>
              </w:rPr>
              <w:t>age the services of any foreign</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correspondent bank(s) / partners for executin</w:t>
            </w:r>
            <w:r w:rsidR="004A3B26" w:rsidRPr="004A3B26">
              <w:rPr>
                <w:rFonts w:ascii="Arial Unicode MS" w:eastAsia="Arial Unicode MS" w:hAnsi="Arial Unicode MS" w:cs="Arial Unicode MS" w:hint="eastAsia"/>
                <w:color w:val="595959"/>
                <w:sz w:val="18"/>
                <w:szCs w:val="18"/>
              </w:rPr>
              <w:t>g the transfer. The Bank and/or</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correspondent bank disclaims liability for any</w:t>
            </w:r>
            <w:r w:rsidR="004A3B26" w:rsidRPr="004A3B26">
              <w:rPr>
                <w:rFonts w:ascii="Arial Unicode MS" w:eastAsia="Arial Unicode MS" w:hAnsi="Arial Unicode MS" w:cs="Arial Unicode MS" w:hint="eastAsia"/>
                <w:color w:val="595959"/>
                <w:sz w:val="18"/>
                <w:szCs w:val="18"/>
              </w:rPr>
              <w:t xml:space="preserve"> loss or damages resulting from</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any error, reason or circumstances beyond their control.</w:t>
            </w:r>
          </w:p>
        </w:tc>
        <w:tc>
          <w:tcPr>
            <w:tcW w:w="5423" w:type="dxa"/>
            <w:shd w:val="clear" w:color="auto" w:fill="auto"/>
          </w:tcPr>
          <w:p w:rsidR="00542BCE" w:rsidRPr="004A3B26" w:rsidRDefault="00542BCE" w:rsidP="004A3B26">
            <w:pPr>
              <w:pStyle w:val="ListParagraph"/>
              <w:numPr>
                <w:ilvl w:val="0"/>
                <w:numId w:val="3"/>
              </w:numPr>
              <w:tabs>
                <w:tab w:val="left" w:pos="18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cs"/>
                <w:color w:val="595959" w:themeColor="text1" w:themeTint="A6"/>
                <w:sz w:val="18"/>
                <w:szCs w:val="18"/>
                <w:rtl/>
              </w:rPr>
              <w:t xml:space="preserve"> </w:t>
            </w:r>
            <w:r w:rsidRPr="004A3B26">
              <w:rPr>
                <w:rFonts w:ascii="Arial Unicode MS" w:eastAsia="Arial Unicode MS" w:hAnsi="Arial Unicode MS" w:cs="Arial Unicode MS" w:hint="eastAsia"/>
                <w:color w:val="595959"/>
                <w:sz w:val="18"/>
                <w:szCs w:val="18"/>
                <w:rtl/>
              </w:rPr>
              <w:t>يجوز للبنك وفقاً لتقديره المطلق الاستعانة بخدمات أي بنك أو بنوك/ وسيطة أو شركاء أجانب مراسلين</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لتنفيذ عمليات تحويل الأم</w:t>
            </w:r>
            <w:r w:rsidR="004A3B26">
              <w:rPr>
                <w:rFonts w:ascii="Arial Unicode MS" w:eastAsia="Arial Unicode MS" w:hAnsi="Arial Unicode MS" w:cs="Arial Unicode MS" w:hint="eastAsia"/>
                <w:color w:val="595959"/>
                <w:sz w:val="18"/>
                <w:szCs w:val="18"/>
                <w:rtl/>
              </w:rPr>
              <w:t>وال. ولن يتحمل البنك و/أو البنك</w:t>
            </w:r>
            <w:r w:rsid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الوسيط المسؤولية عن أي خسائر أو أضرار قد</w:t>
            </w:r>
            <w:r w:rsidRPr="004A3B26">
              <w:rPr>
                <w:rFonts w:ascii="Arial Unicode MS" w:eastAsia="Arial Unicode MS" w:hAnsi="Arial Unicode MS" w:cs="Arial Unicode MS" w:hint="eastAsia"/>
                <w:color w:val="595959"/>
                <w:sz w:val="18"/>
                <w:szCs w:val="18"/>
              </w:rPr>
              <w:br/>
            </w:r>
            <w:r w:rsidRPr="004A3B26">
              <w:rPr>
                <w:rFonts w:ascii="Arial Unicode MS" w:eastAsia="Arial Unicode MS" w:hAnsi="Arial Unicode MS" w:cs="Arial Unicode MS" w:hint="eastAsia"/>
                <w:color w:val="595959"/>
                <w:sz w:val="18"/>
                <w:szCs w:val="18"/>
                <w:rtl/>
              </w:rPr>
              <w:t>تنتج من أي خطأ أو إغفال أو ظروف خارجة عن إرادة وسيطرة البنك أو البنك الوسيط</w:t>
            </w:r>
            <w:r w:rsidRPr="004A3B26">
              <w:rPr>
                <w:rFonts w:ascii="Arial Unicode MS" w:eastAsia="Arial Unicode MS" w:hAnsi="Arial Unicode MS" w:cs="Arial Unicode MS" w:hint="eastAsia"/>
                <w:color w:val="595959"/>
                <w:sz w:val="18"/>
                <w:szCs w:val="18"/>
              </w:rPr>
              <w:t>.</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3-</w:t>
            </w:r>
            <w:r w:rsidRPr="004A3B26">
              <w:rPr>
                <w:rFonts w:ascii="Arial Unicode MS" w:eastAsia="Arial Unicode MS" w:hAnsi="Arial Unicode MS" w:cs="Arial Unicode MS" w:hint="eastAsia"/>
                <w:color w:val="595959"/>
                <w:sz w:val="18"/>
                <w:szCs w:val="18"/>
              </w:rPr>
              <w:t>The customer agrees to the deduction o</w:t>
            </w:r>
            <w:r w:rsidR="004A3B26" w:rsidRPr="004A3B26">
              <w:rPr>
                <w:rFonts w:ascii="Arial Unicode MS" w:eastAsia="Arial Unicode MS" w:hAnsi="Arial Unicode MS" w:cs="Arial Unicode MS" w:hint="eastAsia"/>
                <w:color w:val="595959"/>
                <w:sz w:val="18"/>
                <w:szCs w:val="18"/>
              </w:rPr>
              <w:t>f any fees or expenses from 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transfer amount if the transfer is returned f</w:t>
            </w:r>
            <w:r w:rsidR="004A3B26" w:rsidRPr="004A3B26">
              <w:rPr>
                <w:rFonts w:ascii="Arial Unicode MS" w:eastAsia="Arial Unicode MS" w:hAnsi="Arial Unicode MS" w:cs="Arial Unicode MS" w:hint="eastAsia"/>
                <w:color w:val="595959"/>
                <w:sz w:val="18"/>
                <w:szCs w:val="18"/>
              </w:rPr>
              <w:t>or any reason whatsoever or 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customers requested for cancelation / amendment.</w:t>
            </w:r>
          </w:p>
        </w:tc>
        <w:tc>
          <w:tcPr>
            <w:tcW w:w="5423" w:type="dxa"/>
            <w:shd w:val="clear" w:color="auto" w:fill="auto"/>
          </w:tcPr>
          <w:p w:rsidR="00542BCE" w:rsidRPr="004A3B26" w:rsidRDefault="00542BCE" w:rsidP="00C170A9">
            <w:pPr>
              <w:pStyle w:val="ListParagraph"/>
              <w:numPr>
                <w:ilvl w:val="0"/>
                <w:numId w:val="3"/>
              </w:numPr>
              <w:tabs>
                <w:tab w:val="left" w:pos="18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يوافق العميل على خصم أي رسوم أو نفقات من مبلغ الحوالة المالية في حال إعادة الحوالة لأي سبب من</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الأسباب أو اذا طلب العميل الغائها أو تعديلها</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4-</w:t>
            </w:r>
            <w:r w:rsidRPr="004A3B26">
              <w:rPr>
                <w:rFonts w:ascii="Arial Unicode MS" w:eastAsia="Arial Unicode MS" w:hAnsi="Arial Unicode MS" w:cs="Arial Unicode MS" w:hint="eastAsia"/>
                <w:color w:val="595959"/>
                <w:sz w:val="18"/>
                <w:szCs w:val="18"/>
              </w:rPr>
              <w:t>Refund against cancelation, returned, unp</w:t>
            </w:r>
            <w:r w:rsidR="004A3B26" w:rsidRPr="004A3B26">
              <w:rPr>
                <w:rFonts w:ascii="Arial Unicode MS" w:eastAsia="Arial Unicode MS" w:hAnsi="Arial Unicode MS" w:cs="Arial Unicode MS" w:hint="eastAsia"/>
                <w:color w:val="595959"/>
                <w:sz w:val="18"/>
                <w:szCs w:val="18"/>
              </w:rPr>
              <w:t>aid transactions for whatsoever</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 xml:space="preserve">reason will be made only at our prevailing buying rate or </w:t>
            </w:r>
            <w:r w:rsidR="004A3B26" w:rsidRPr="004A3B26">
              <w:rPr>
                <w:rFonts w:ascii="Arial Unicode MS" w:eastAsia="Arial Unicode MS" w:hAnsi="Arial Unicode MS" w:cs="Arial Unicode MS" w:hint="eastAsia"/>
                <w:color w:val="595959"/>
                <w:sz w:val="18"/>
                <w:szCs w:val="18"/>
              </w:rPr>
              <w:t>your purchase rate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whichever is lower.</w:t>
            </w:r>
          </w:p>
        </w:tc>
        <w:tc>
          <w:tcPr>
            <w:tcW w:w="5423" w:type="dxa"/>
            <w:shd w:val="clear" w:color="auto" w:fill="auto"/>
          </w:tcPr>
          <w:p w:rsidR="00542BCE" w:rsidRPr="004A3B26" w:rsidRDefault="00542BCE" w:rsidP="00C170A9">
            <w:pPr>
              <w:pStyle w:val="ListParagraph"/>
              <w:numPr>
                <w:ilvl w:val="0"/>
                <w:numId w:val="3"/>
              </w:numPr>
              <w:tabs>
                <w:tab w:val="left" w:pos="18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استرداد الحوالة بسبب الإلغاء أو الإسترجاع أو عدم الدفع مهما كان السبب سوف يكون حسب سعر الشراء</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السائد في البنك أو سعر الشراء الخاص بالعميل، ايهما أقل</w:t>
            </w:r>
            <w:r w:rsidRPr="004A3B26">
              <w:rPr>
                <w:rFonts w:ascii="Arial Unicode MS" w:eastAsia="Arial Unicode MS" w:hAnsi="Arial Unicode MS" w:cs="Arial Unicode MS" w:hint="eastAsia"/>
                <w:color w:val="595959"/>
                <w:sz w:val="18"/>
                <w:szCs w:val="18"/>
              </w:rPr>
              <w:t>.</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5-</w:t>
            </w:r>
            <w:r w:rsidRPr="004A3B26">
              <w:rPr>
                <w:rFonts w:ascii="Arial Unicode MS" w:eastAsia="Arial Unicode MS" w:hAnsi="Arial Unicode MS" w:cs="Arial Unicode MS" w:hint="eastAsia"/>
                <w:color w:val="595959"/>
                <w:sz w:val="18"/>
                <w:szCs w:val="18"/>
              </w:rPr>
              <w:t xml:space="preserve">The Bank does not accept any liability in case </w:t>
            </w:r>
            <w:r w:rsidR="004A3B26" w:rsidRPr="004A3B26">
              <w:rPr>
                <w:rFonts w:ascii="Arial Unicode MS" w:eastAsia="Arial Unicode MS" w:hAnsi="Arial Unicode MS" w:cs="Arial Unicode MS" w:hint="eastAsia"/>
                <w:color w:val="595959"/>
                <w:sz w:val="18"/>
                <w:szCs w:val="18"/>
              </w:rPr>
              <w:t>the transfer is returned by 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correspondent bank.</w:t>
            </w:r>
          </w:p>
        </w:tc>
        <w:tc>
          <w:tcPr>
            <w:tcW w:w="5423" w:type="dxa"/>
            <w:shd w:val="clear" w:color="auto" w:fill="auto"/>
          </w:tcPr>
          <w:p w:rsidR="00542BCE" w:rsidRPr="004A3B26" w:rsidRDefault="00542BCE" w:rsidP="00C170A9">
            <w:pPr>
              <w:pStyle w:val="ListParagraph"/>
              <w:numPr>
                <w:ilvl w:val="0"/>
                <w:numId w:val="3"/>
              </w:numPr>
              <w:tabs>
                <w:tab w:val="left" w:pos="0"/>
              </w:tabs>
              <w:spacing w:line="240" w:lineRule="exact"/>
              <w:ind w:left="185" w:hanging="18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لا يتحمل البنك أي مسؤولية في حال أعاد البنك الوسيط الحوالة المالية</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6-</w:t>
            </w:r>
            <w:r w:rsidRPr="004A3B26">
              <w:rPr>
                <w:rFonts w:ascii="Arial Unicode MS" w:eastAsia="Arial Unicode MS" w:hAnsi="Arial Unicode MS" w:cs="Arial Unicode MS" w:hint="eastAsia"/>
                <w:color w:val="595959"/>
                <w:sz w:val="18"/>
                <w:szCs w:val="18"/>
              </w:rPr>
              <w:t xml:space="preserve">The Bank may, at its sole discretion, suspend </w:t>
            </w:r>
            <w:r w:rsidR="004A3B26" w:rsidRPr="004A3B26">
              <w:rPr>
                <w:rFonts w:ascii="Arial Unicode MS" w:eastAsia="Arial Unicode MS" w:hAnsi="Arial Unicode MS" w:cs="Arial Unicode MS" w:hint="eastAsia"/>
                <w:color w:val="595959"/>
                <w:sz w:val="18"/>
                <w:szCs w:val="18"/>
              </w:rPr>
              <w:t>or cancel any remittance if 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Bank believes that its execution thereof might r</w:t>
            </w:r>
            <w:r w:rsidR="004A3B26" w:rsidRPr="004A3B26">
              <w:rPr>
                <w:rFonts w:ascii="Arial Unicode MS" w:eastAsia="Arial Unicode MS" w:hAnsi="Arial Unicode MS" w:cs="Arial Unicode MS" w:hint="eastAsia"/>
                <w:color w:val="595959"/>
                <w:sz w:val="18"/>
                <w:szCs w:val="18"/>
              </w:rPr>
              <w:t>esult in breach or violation of</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any applicable rule and regulation or its a</w:t>
            </w:r>
            <w:r w:rsidR="004A3B26" w:rsidRPr="004A3B26">
              <w:rPr>
                <w:rFonts w:ascii="Arial Unicode MS" w:eastAsia="Arial Unicode MS" w:hAnsi="Arial Unicode MS" w:cs="Arial Unicode MS" w:hint="eastAsia"/>
                <w:color w:val="595959"/>
                <w:sz w:val="18"/>
                <w:szCs w:val="18"/>
              </w:rPr>
              <w:t>greement with the correspondent</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bank.</w:t>
            </w:r>
          </w:p>
        </w:tc>
        <w:tc>
          <w:tcPr>
            <w:tcW w:w="5423" w:type="dxa"/>
            <w:shd w:val="clear" w:color="auto" w:fill="auto"/>
          </w:tcPr>
          <w:p w:rsidR="00542BCE" w:rsidRPr="004A3B26" w:rsidRDefault="00542BCE" w:rsidP="00C170A9">
            <w:pPr>
              <w:pStyle w:val="ListParagraph"/>
              <w:numPr>
                <w:ilvl w:val="0"/>
                <w:numId w:val="3"/>
              </w:numPr>
              <w:tabs>
                <w:tab w:val="left" w:pos="185"/>
              </w:tabs>
              <w:spacing w:line="240" w:lineRule="exact"/>
              <w:ind w:left="95" w:hanging="9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يجوز للبنك، وفقاً لتقديره المطلق، أن يوقف أو يلغي أي عملية تحويل مبالغ إذا اعتقد البنك أن تنفيذه لتلك</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العميلة قد يؤدي إلى خرق أو انتهاك لأي قاعدة أو لائحة من الأنظمة المطبقة أو إي اتفاقية مع البنك</w:t>
            </w:r>
            <w:r w:rsidRPr="004A3B26">
              <w:rPr>
                <w:rFonts w:ascii="Arial Unicode MS" w:eastAsia="Arial Unicode MS" w:hAnsi="Arial Unicode MS" w:cs="Arial Unicode MS" w:hint="eastAsia"/>
                <w:color w:val="595959"/>
                <w:sz w:val="18"/>
                <w:szCs w:val="18"/>
              </w:rPr>
              <w:br/>
            </w:r>
            <w:r w:rsidRPr="004A3B26">
              <w:rPr>
                <w:rFonts w:ascii="Arial Unicode MS" w:eastAsia="Arial Unicode MS" w:hAnsi="Arial Unicode MS" w:cs="Arial Unicode MS" w:hint="eastAsia"/>
                <w:color w:val="595959"/>
                <w:sz w:val="18"/>
                <w:szCs w:val="18"/>
                <w:rtl/>
              </w:rPr>
              <w:t>الوسيط</w:t>
            </w:r>
            <w:r w:rsidRPr="004A3B26">
              <w:rPr>
                <w:rFonts w:ascii="Arial Unicode MS" w:eastAsia="Arial Unicode MS" w:hAnsi="Arial Unicode MS" w:cs="Arial Unicode MS" w:hint="eastAsia"/>
                <w:color w:val="595959"/>
                <w:sz w:val="18"/>
                <w:szCs w:val="18"/>
              </w:rPr>
              <w:t xml:space="preserve"> .</w:t>
            </w:r>
          </w:p>
        </w:tc>
      </w:tr>
      <w:tr w:rsidR="00542BCE" w:rsidRPr="00F23920" w:rsidTr="006B790C">
        <w:tc>
          <w:tcPr>
            <w:tcW w:w="5845" w:type="dxa"/>
            <w:shd w:val="clear" w:color="auto" w:fill="auto"/>
          </w:tcPr>
          <w:p w:rsidR="00542BCE" w:rsidRPr="004A3B26" w:rsidRDefault="006924D9" w:rsidP="008805CC">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7-</w:t>
            </w:r>
            <w:r w:rsidRPr="004A3B26">
              <w:rPr>
                <w:rFonts w:ascii="Arial Unicode MS" w:eastAsia="Arial Unicode MS" w:hAnsi="Arial Unicode MS" w:cs="Arial Unicode MS" w:hint="eastAsia"/>
                <w:color w:val="595959"/>
                <w:sz w:val="18"/>
                <w:szCs w:val="18"/>
              </w:rPr>
              <w:t xml:space="preserve">By signing the form the customer adheres to </w:t>
            </w:r>
            <w:r w:rsidR="004A3B26" w:rsidRPr="004A3B26">
              <w:rPr>
                <w:rFonts w:ascii="Arial Unicode MS" w:eastAsia="Arial Unicode MS" w:hAnsi="Arial Unicode MS" w:cs="Arial Unicode MS" w:hint="eastAsia"/>
                <w:color w:val="595959"/>
                <w:sz w:val="18"/>
                <w:szCs w:val="18"/>
              </w:rPr>
              <w:t>all regulations of the Bank and</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 xml:space="preserve">the Saudi </w:t>
            </w:r>
            <w:r w:rsidR="008805CC">
              <w:rPr>
                <w:rFonts w:ascii="Arial Unicode MS" w:eastAsia="Arial Unicode MS" w:hAnsi="Arial Unicode MS" w:cs="Arial Unicode MS"/>
                <w:color w:val="595959"/>
                <w:sz w:val="18"/>
                <w:szCs w:val="18"/>
              </w:rPr>
              <w:t>Central Bank</w:t>
            </w:r>
            <w:r w:rsidRPr="004A3B26">
              <w:rPr>
                <w:rFonts w:ascii="Arial Unicode MS" w:eastAsia="Arial Unicode MS" w:hAnsi="Arial Unicode MS" w:cs="Arial Unicode MS" w:hint="eastAsia"/>
                <w:color w:val="595959"/>
                <w:sz w:val="18"/>
                <w:szCs w:val="18"/>
              </w:rPr>
              <w:t xml:space="preserve"> (SAMA).</w:t>
            </w:r>
          </w:p>
        </w:tc>
        <w:tc>
          <w:tcPr>
            <w:tcW w:w="5423" w:type="dxa"/>
            <w:shd w:val="clear" w:color="auto" w:fill="auto"/>
          </w:tcPr>
          <w:p w:rsidR="00542BCE" w:rsidRPr="004A3B26" w:rsidRDefault="00542BCE" w:rsidP="00871040">
            <w:pPr>
              <w:pStyle w:val="ListParagraph"/>
              <w:numPr>
                <w:ilvl w:val="0"/>
                <w:numId w:val="3"/>
              </w:numPr>
              <w:tabs>
                <w:tab w:val="left" w:pos="18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 xml:space="preserve">بتوقيعه على نموذج التحويل فإن العميل يلتزم بكافة أنظمة البنك وأنظمة </w:t>
            </w:r>
            <w:r w:rsidR="00871040">
              <w:rPr>
                <w:rFonts w:ascii="Arial Unicode MS" w:eastAsia="Arial Unicode MS" w:hAnsi="Arial Unicode MS" w:cs="Arial Unicode MS" w:hint="cs"/>
                <w:color w:val="595959"/>
                <w:sz w:val="18"/>
                <w:szCs w:val="18"/>
                <w:rtl/>
              </w:rPr>
              <w:t>البنك المركزي</w:t>
            </w:r>
            <w:r w:rsidRPr="004A3B26">
              <w:rPr>
                <w:rFonts w:ascii="Arial Unicode MS" w:eastAsia="Arial Unicode MS" w:hAnsi="Arial Unicode MS" w:cs="Arial Unicode MS" w:hint="eastAsia"/>
                <w:color w:val="595959"/>
                <w:sz w:val="18"/>
                <w:szCs w:val="18"/>
                <w:rtl/>
              </w:rPr>
              <w:t xml:space="preserve"> السعودي</w:t>
            </w:r>
            <w:r w:rsidRPr="004A3B26">
              <w:rPr>
                <w:rFonts w:ascii="Arial Unicode MS" w:eastAsia="Arial Unicode MS" w:hAnsi="Arial Unicode MS" w:cs="Arial Unicode MS" w:hint="cs"/>
                <w:color w:val="595959"/>
                <w:sz w:val="18"/>
                <w:szCs w:val="18"/>
                <w:rtl/>
              </w:rPr>
              <w:t>.</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8-</w:t>
            </w:r>
            <w:r w:rsidRPr="004A3B26">
              <w:rPr>
                <w:rFonts w:ascii="Arial Unicode MS" w:eastAsia="Arial Unicode MS" w:hAnsi="Arial Unicode MS" w:cs="Arial Unicode MS" w:hint="eastAsia"/>
                <w:color w:val="595959"/>
                <w:sz w:val="18"/>
                <w:szCs w:val="18"/>
              </w:rPr>
              <w:t>The Bank reserves the right to cancel the tr</w:t>
            </w:r>
            <w:r w:rsidR="004A3B26" w:rsidRPr="004A3B26">
              <w:rPr>
                <w:rFonts w:ascii="Arial Unicode MS" w:eastAsia="Arial Unicode MS" w:hAnsi="Arial Unicode MS" w:cs="Arial Unicode MS" w:hint="eastAsia"/>
                <w:color w:val="595959"/>
                <w:sz w:val="18"/>
                <w:szCs w:val="18"/>
              </w:rPr>
              <w:t>ansfer if the customer does not</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respond to the Bank’s inquiries. In such ev</w:t>
            </w:r>
            <w:r w:rsidR="004A3B26" w:rsidRPr="004A3B26">
              <w:rPr>
                <w:rFonts w:ascii="Arial Unicode MS" w:eastAsia="Arial Unicode MS" w:hAnsi="Arial Unicode MS" w:cs="Arial Unicode MS" w:hint="eastAsia"/>
                <w:color w:val="595959"/>
                <w:sz w:val="18"/>
                <w:szCs w:val="18"/>
              </w:rPr>
              <w:t>ent the customer shall bear all</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applicable costs and fees.</w:t>
            </w:r>
          </w:p>
        </w:tc>
        <w:tc>
          <w:tcPr>
            <w:tcW w:w="5423" w:type="dxa"/>
            <w:shd w:val="clear" w:color="auto" w:fill="auto"/>
          </w:tcPr>
          <w:p w:rsidR="00542BCE" w:rsidRPr="004A3B26" w:rsidRDefault="00542BCE" w:rsidP="00C170A9">
            <w:pPr>
              <w:pStyle w:val="ListParagraph"/>
              <w:numPr>
                <w:ilvl w:val="0"/>
                <w:numId w:val="3"/>
              </w:numPr>
              <w:tabs>
                <w:tab w:val="right" w:pos="275"/>
              </w:tabs>
              <w:spacing w:line="240" w:lineRule="exact"/>
              <w:ind w:left="5" w:firstLine="9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يحتفظ البنك بالحق في إلغاء عملية التحويل إذا لم يجيب العميل على أسئلة واستفسارات البنك، و في هذه</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الحاله يتحمل العميل كافة الرسوم و التكاليف الخاصة بالحوالة</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9-</w:t>
            </w:r>
            <w:r w:rsidRPr="004A3B26">
              <w:rPr>
                <w:rFonts w:ascii="Arial Unicode MS" w:eastAsia="Arial Unicode MS" w:hAnsi="Arial Unicode MS" w:cs="Arial Unicode MS" w:hint="eastAsia"/>
                <w:color w:val="595959"/>
                <w:sz w:val="18"/>
                <w:szCs w:val="18"/>
              </w:rPr>
              <w:t>Transaction cannot be cancelled or ame</w:t>
            </w:r>
            <w:r w:rsidR="004A3B26" w:rsidRPr="004A3B26">
              <w:rPr>
                <w:rFonts w:ascii="Arial Unicode MS" w:eastAsia="Arial Unicode MS" w:hAnsi="Arial Unicode MS" w:cs="Arial Unicode MS" w:hint="eastAsia"/>
                <w:color w:val="595959"/>
                <w:sz w:val="18"/>
                <w:szCs w:val="18"/>
              </w:rPr>
              <w:t>nded if already credited to 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beneficiary account or paid to beneficiary be</w:t>
            </w:r>
            <w:r w:rsidR="004A3B26" w:rsidRPr="004A3B26">
              <w:rPr>
                <w:rFonts w:ascii="Arial Unicode MS" w:eastAsia="Arial Unicode MS" w:hAnsi="Arial Unicode MS" w:cs="Arial Unicode MS" w:hint="eastAsia"/>
                <w:color w:val="595959"/>
                <w:sz w:val="18"/>
                <w:szCs w:val="18"/>
              </w:rPr>
              <w:t>fore the request being received</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 xml:space="preserve">and executed by the correspondent </w:t>
            </w:r>
            <w:r w:rsidR="004A3B26" w:rsidRPr="004A3B26">
              <w:rPr>
                <w:rFonts w:ascii="Arial Unicode MS" w:eastAsia="Arial Unicode MS" w:hAnsi="Arial Unicode MS" w:cs="Arial Unicode MS" w:hint="eastAsia"/>
                <w:color w:val="595959"/>
                <w:sz w:val="18"/>
                <w:szCs w:val="18"/>
              </w:rPr>
              <w:t>bank. In case of cancelation or</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amendment, applicable charges will be applied.</w:t>
            </w:r>
          </w:p>
        </w:tc>
        <w:tc>
          <w:tcPr>
            <w:tcW w:w="5423" w:type="dxa"/>
            <w:shd w:val="clear" w:color="auto" w:fill="auto"/>
          </w:tcPr>
          <w:p w:rsidR="00542BCE" w:rsidRPr="004A3B26" w:rsidRDefault="00542BCE" w:rsidP="00C170A9">
            <w:pPr>
              <w:pStyle w:val="ListParagraph"/>
              <w:numPr>
                <w:ilvl w:val="0"/>
                <w:numId w:val="3"/>
              </w:numPr>
              <w:tabs>
                <w:tab w:val="left" w:pos="18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لا يمكن إلغاء عملية التحويل أو تعديلها في حال تم قيدها فعلاا في حساب الشخص المستفيد أو تم دفعهاللمستفيد قبل استلام البنك المراسل لطلب الإلغاء وتنفيذه. وفي حال إلغاء أو تعديل طلب التحويل، سيتم</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تطبيق الرسوم المتعلقه بذلك</w:t>
            </w:r>
            <w:r w:rsidRPr="004A3B26">
              <w:rPr>
                <w:rFonts w:ascii="Arial Unicode MS" w:eastAsia="Arial Unicode MS" w:hAnsi="Arial Unicode MS" w:cs="Arial Unicode MS" w:hint="eastAsia"/>
                <w:color w:val="595959"/>
                <w:sz w:val="18"/>
                <w:szCs w:val="18"/>
              </w:rPr>
              <w:t>.</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10-</w:t>
            </w:r>
            <w:r w:rsidRPr="004A3B26">
              <w:rPr>
                <w:rFonts w:ascii="Arial Unicode MS" w:eastAsia="Arial Unicode MS" w:hAnsi="Arial Unicode MS" w:cs="Arial Unicode MS" w:hint="eastAsia"/>
                <w:color w:val="595959"/>
                <w:sz w:val="18"/>
                <w:szCs w:val="18"/>
              </w:rPr>
              <w:t xml:space="preserve">he Bank has right to use the beneficiary information in order to execute </w:t>
            </w:r>
            <w:r w:rsidR="004A3B26" w:rsidRPr="004A3B26">
              <w:rPr>
                <w:rFonts w:ascii="Arial Unicode MS" w:eastAsia="Arial Unicode MS" w:hAnsi="Arial Unicode MS" w:cs="Arial Unicode MS" w:hint="eastAsia"/>
                <w:color w:val="595959"/>
                <w:sz w:val="18"/>
                <w:szCs w:val="18"/>
              </w:rPr>
              <w:t>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transfer and is exempted from any error res</w:t>
            </w:r>
            <w:r w:rsidR="004A3B26" w:rsidRPr="004A3B26">
              <w:rPr>
                <w:rFonts w:ascii="Arial Unicode MS" w:eastAsia="Arial Unicode MS" w:hAnsi="Arial Unicode MS" w:cs="Arial Unicode MS" w:hint="eastAsia"/>
                <w:color w:val="595959"/>
                <w:sz w:val="18"/>
                <w:szCs w:val="18"/>
              </w:rPr>
              <w:t>ulting due to wrong information</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provided in the form.</w:t>
            </w:r>
          </w:p>
        </w:tc>
        <w:tc>
          <w:tcPr>
            <w:tcW w:w="5423" w:type="dxa"/>
            <w:shd w:val="clear" w:color="auto" w:fill="auto"/>
          </w:tcPr>
          <w:p w:rsidR="00542BCE" w:rsidRPr="004A3B26" w:rsidRDefault="00C170A9" w:rsidP="00C170A9">
            <w:pPr>
              <w:pStyle w:val="ListParagraph"/>
              <w:numPr>
                <w:ilvl w:val="0"/>
                <w:numId w:val="3"/>
              </w:numPr>
              <w:tabs>
                <w:tab w:val="left" w:pos="275"/>
              </w:tabs>
              <w:spacing w:line="240" w:lineRule="exact"/>
              <w:ind w:left="5" w:firstLine="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sz w:val="18"/>
                <w:szCs w:val="18"/>
                <w:rtl/>
              </w:rPr>
              <w:t>ل</w:t>
            </w:r>
            <w:r w:rsidR="00542BCE" w:rsidRPr="004A3B26">
              <w:rPr>
                <w:rFonts w:ascii="Arial Unicode MS" w:eastAsia="Arial Unicode MS" w:hAnsi="Arial Unicode MS" w:cs="Arial Unicode MS" w:hint="eastAsia"/>
                <w:color w:val="595959"/>
                <w:sz w:val="18"/>
                <w:szCs w:val="18"/>
                <w:rtl/>
              </w:rPr>
              <w:t>لبنك الحق في استخدام معلومات المستفيد لغرض تنفيذ الحوالة المالية، ولا يتحمل البنك أي مسؤوليةعن أي خطأ ينتج بسبب المعلومات غير الصحيحة الواردة في النموذج</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lastRenderedPageBreak/>
              <w:t>11-</w:t>
            </w:r>
            <w:r w:rsidRPr="004A3B26">
              <w:rPr>
                <w:rFonts w:ascii="Arial Unicode MS" w:eastAsia="Arial Unicode MS" w:hAnsi="Arial Unicode MS" w:cs="Arial Unicode MS" w:hint="eastAsia"/>
                <w:color w:val="595959"/>
                <w:sz w:val="18"/>
                <w:szCs w:val="18"/>
              </w:rPr>
              <w:t>Correspondent / Intermediary/ Beneficiary Bank’</w:t>
            </w:r>
            <w:r w:rsidR="004A3B26" w:rsidRPr="004A3B26">
              <w:rPr>
                <w:rFonts w:ascii="Arial Unicode MS" w:eastAsia="Arial Unicode MS" w:hAnsi="Arial Unicode MS" w:cs="Arial Unicode MS" w:hint="eastAsia"/>
                <w:color w:val="595959"/>
                <w:sz w:val="18"/>
                <w:szCs w:val="18"/>
              </w:rPr>
              <w:t>s charges are applicable for</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some countries and transfer will be subject to such charges at the beneficia</w:t>
            </w:r>
            <w:r w:rsidR="004A3B26" w:rsidRPr="004A3B26">
              <w:rPr>
                <w:rFonts w:ascii="Arial Unicode MS" w:eastAsia="Arial Unicode MS" w:hAnsi="Arial Unicode MS" w:cs="Arial Unicode MS" w:hint="eastAsia"/>
                <w:color w:val="595959"/>
                <w:sz w:val="18"/>
                <w:szCs w:val="18"/>
              </w:rPr>
              <w:t>ry</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end.</w:t>
            </w:r>
          </w:p>
        </w:tc>
        <w:tc>
          <w:tcPr>
            <w:tcW w:w="5423" w:type="dxa"/>
            <w:shd w:val="clear" w:color="auto" w:fill="auto"/>
          </w:tcPr>
          <w:p w:rsidR="00542BCE" w:rsidRPr="004A3B26" w:rsidRDefault="00542BCE" w:rsidP="00C170A9">
            <w:pPr>
              <w:pStyle w:val="ListParagraph"/>
              <w:numPr>
                <w:ilvl w:val="0"/>
                <w:numId w:val="3"/>
              </w:numPr>
              <w:tabs>
                <w:tab w:val="left" w:pos="275"/>
              </w:tabs>
              <w:spacing w:line="240" w:lineRule="exact"/>
              <w:ind w:left="95" w:hanging="9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طبق رسوم المراسل / الوسيط / البنك المستفيد الخاصة بالبنك بالنسبة لبعض البلدان، وسيتم خصم هذه</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الرسوم من مبلغ الحوالة المستوجب الدفع للمستفيد</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12-</w:t>
            </w:r>
            <w:r w:rsidRPr="004A3B26">
              <w:rPr>
                <w:rFonts w:ascii="Arial Unicode MS" w:eastAsia="Arial Unicode MS" w:hAnsi="Arial Unicode MS" w:cs="Arial Unicode MS" w:hint="eastAsia"/>
                <w:color w:val="595959"/>
                <w:sz w:val="18"/>
                <w:szCs w:val="18"/>
              </w:rPr>
              <w:t xml:space="preserve">In some countries, the remittance could be </w:t>
            </w:r>
            <w:r w:rsidR="004A3B26" w:rsidRPr="004A3B26">
              <w:rPr>
                <w:rFonts w:ascii="Arial Unicode MS" w:eastAsia="Arial Unicode MS" w:hAnsi="Arial Unicode MS" w:cs="Arial Unicode MS" w:hint="eastAsia"/>
                <w:color w:val="595959"/>
                <w:sz w:val="18"/>
                <w:szCs w:val="18"/>
              </w:rPr>
              <w:t>subject to taxes and levies and</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applicable deductions will be applied at the beneficiary end.</w:t>
            </w:r>
          </w:p>
        </w:tc>
        <w:tc>
          <w:tcPr>
            <w:tcW w:w="5423" w:type="dxa"/>
            <w:shd w:val="clear" w:color="auto" w:fill="auto"/>
          </w:tcPr>
          <w:p w:rsidR="00542BCE" w:rsidRPr="004A3B26" w:rsidRDefault="00542BCE" w:rsidP="00C170A9">
            <w:pPr>
              <w:pStyle w:val="ListParagraph"/>
              <w:numPr>
                <w:ilvl w:val="0"/>
                <w:numId w:val="3"/>
              </w:numPr>
              <w:tabs>
                <w:tab w:val="left" w:pos="27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في بعض الدول، قد يخضع مبلغ الحوالة الى ضرائب أو رسوم حكومية و سيتم خصم هذه الضرائب والرسوم من مبلغ الحوالة المستوجب الدفع للمستفيد</w:t>
            </w:r>
          </w:p>
        </w:tc>
      </w:tr>
      <w:tr w:rsidR="00542BCE" w:rsidRPr="00F23920" w:rsidTr="006B790C">
        <w:tc>
          <w:tcPr>
            <w:tcW w:w="5845" w:type="dxa"/>
            <w:shd w:val="clear" w:color="auto" w:fill="auto"/>
          </w:tcPr>
          <w:p w:rsidR="00542BCE" w:rsidRPr="004A3B26" w:rsidRDefault="006924D9" w:rsidP="004A3B26">
            <w:pPr>
              <w:tabs>
                <w:tab w:val="left" w:pos="0"/>
                <w:tab w:val="center" w:pos="2630"/>
              </w:tabs>
              <w:spacing w:line="240" w:lineRule="exact"/>
              <w:jc w:val="both"/>
              <w:rPr>
                <w:rFonts w:ascii="Arial Unicode MS" w:eastAsia="Arial Unicode MS" w:hAnsi="Arial Unicode MS" w:cs="Arial Unicode MS"/>
                <w:color w:val="595959" w:themeColor="text1" w:themeTint="A6"/>
                <w:sz w:val="18"/>
                <w:szCs w:val="18"/>
              </w:rPr>
            </w:pPr>
            <w:r w:rsidRPr="004A3B26">
              <w:rPr>
                <w:rFonts w:ascii="Arial Unicode MS" w:eastAsia="Arial Unicode MS" w:hAnsi="Arial Unicode MS" w:cs="Arial Unicode MS"/>
                <w:color w:val="595959" w:themeColor="text1" w:themeTint="A6"/>
                <w:sz w:val="18"/>
                <w:szCs w:val="18"/>
              </w:rPr>
              <w:t>13-</w:t>
            </w:r>
            <w:r w:rsidRPr="004A3B26">
              <w:rPr>
                <w:rFonts w:ascii="Arial Unicode MS" w:eastAsia="Arial Unicode MS" w:hAnsi="Arial Unicode MS" w:cs="Arial Unicode MS" w:hint="eastAsia"/>
                <w:color w:val="595959"/>
                <w:sz w:val="18"/>
                <w:szCs w:val="18"/>
              </w:rPr>
              <w:t>he information and data of the remitter and</w:t>
            </w:r>
            <w:r w:rsidR="004A3B26" w:rsidRPr="004A3B26">
              <w:rPr>
                <w:rFonts w:ascii="Arial Unicode MS" w:eastAsia="Arial Unicode MS" w:hAnsi="Arial Unicode MS" w:cs="Arial Unicode MS" w:hint="eastAsia"/>
                <w:color w:val="595959"/>
                <w:sz w:val="18"/>
                <w:szCs w:val="18"/>
              </w:rPr>
              <w:t xml:space="preserve"> the beneficiary will be shared</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with the correspondent/intermediary ba</w:t>
            </w:r>
            <w:r w:rsidR="004A3B26" w:rsidRPr="004A3B26">
              <w:rPr>
                <w:rFonts w:ascii="Arial Unicode MS" w:eastAsia="Arial Unicode MS" w:hAnsi="Arial Unicode MS" w:cs="Arial Unicode MS" w:hint="eastAsia"/>
                <w:color w:val="595959"/>
                <w:sz w:val="18"/>
                <w:szCs w:val="18"/>
              </w:rPr>
              <w:t>nk. The remitter consent to the</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sharing of such information with the corre</w:t>
            </w:r>
            <w:r w:rsidR="004A3B26" w:rsidRPr="004A3B26">
              <w:rPr>
                <w:rFonts w:ascii="Arial Unicode MS" w:eastAsia="Arial Unicode MS" w:hAnsi="Arial Unicode MS" w:cs="Arial Unicode MS" w:hint="eastAsia"/>
                <w:color w:val="595959"/>
                <w:sz w:val="18"/>
                <w:szCs w:val="18"/>
              </w:rPr>
              <w:t>spondent/intermediary bank,</w:t>
            </w:r>
            <w:r w:rsidR="004A3B26">
              <w:rPr>
                <w:rFonts w:ascii="Arial Unicode MS" w:eastAsia="Arial Unicode MS" w:hAnsi="Arial Unicode MS" w:cs="Arial Unicode MS"/>
                <w:color w:val="595959"/>
                <w:sz w:val="18"/>
                <w:szCs w:val="18"/>
              </w:rPr>
              <w:t xml:space="preserve"> </w:t>
            </w:r>
            <w:r w:rsidR="004A3B26" w:rsidRPr="004A3B26">
              <w:rPr>
                <w:rFonts w:ascii="Arial Unicode MS" w:eastAsia="Arial Unicode MS" w:hAnsi="Arial Unicode MS" w:cs="Arial Unicode MS" w:hint="eastAsia"/>
                <w:color w:val="595959"/>
                <w:sz w:val="18"/>
                <w:szCs w:val="18"/>
              </w:rPr>
              <w:t>its</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officers, employees, representative</w:t>
            </w:r>
            <w:r w:rsidR="004A3B26" w:rsidRPr="004A3B26">
              <w:rPr>
                <w:rFonts w:ascii="Arial Unicode MS" w:eastAsia="Arial Unicode MS" w:hAnsi="Arial Unicode MS" w:cs="Arial Unicode MS" w:hint="eastAsia"/>
                <w:color w:val="595959"/>
                <w:sz w:val="18"/>
                <w:szCs w:val="18"/>
              </w:rPr>
              <w:t>s and service providers with no</w:t>
            </w:r>
            <w:r w:rsidR="004A3B26"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Pr>
              <w:t>responsibly on the Bank with respect to the foregoing.</w:t>
            </w:r>
          </w:p>
        </w:tc>
        <w:tc>
          <w:tcPr>
            <w:tcW w:w="5423" w:type="dxa"/>
            <w:shd w:val="clear" w:color="auto" w:fill="auto"/>
          </w:tcPr>
          <w:p w:rsidR="00542BCE" w:rsidRPr="004A3B26" w:rsidRDefault="00542BCE" w:rsidP="00C170A9">
            <w:pPr>
              <w:pStyle w:val="ListParagraph"/>
              <w:numPr>
                <w:ilvl w:val="0"/>
                <w:numId w:val="3"/>
              </w:numPr>
              <w:tabs>
                <w:tab w:val="left" w:pos="275"/>
              </w:tabs>
              <w:spacing w:line="240" w:lineRule="exact"/>
              <w:ind w:left="5" w:firstLine="0"/>
              <w:jc w:val="both"/>
              <w:rPr>
                <w:rFonts w:ascii="Arial Unicode MS" w:eastAsia="Arial Unicode MS" w:hAnsi="Arial Unicode MS" w:cs="Arial Unicode MS"/>
                <w:color w:val="595959" w:themeColor="text1" w:themeTint="A6"/>
                <w:sz w:val="18"/>
                <w:szCs w:val="18"/>
                <w:rtl/>
              </w:rPr>
            </w:pPr>
            <w:r w:rsidRPr="004A3B26">
              <w:rPr>
                <w:rFonts w:ascii="Arial Unicode MS" w:eastAsia="Arial Unicode MS" w:hAnsi="Arial Unicode MS" w:cs="Arial Unicode MS" w:hint="eastAsia"/>
                <w:color w:val="595959"/>
                <w:sz w:val="18"/>
                <w:szCs w:val="18"/>
                <w:rtl/>
              </w:rPr>
              <w:t>معلومات و بيانات المحول و المستفيد سيتم تزويدها للبنك الأجنبي/البنك الوسيط. يوافق المحول على ما</w:t>
            </w:r>
            <w:r w:rsidR="00F23920" w:rsidRPr="004A3B26">
              <w:rPr>
                <w:rFonts w:ascii="Arial Unicode MS" w:eastAsia="Arial Unicode MS" w:hAnsi="Arial Unicode MS" w:cs="Arial Unicode MS"/>
                <w:color w:val="595959"/>
                <w:sz w:val="18"/>
                <w:szCs w:val="18"/>
              </w:rPr>
              <w:t xml:space="preserve"> </w:t>
            </w:r>
            <w:r w:rsidRPr="004A3B26">
              <w:rPr>
                <w:rFonts w:ascii="Arial Unicode MS" w:eastAsia="Arial Unicode MS" w:hAnsi="Arial Unicode MS" w:cs="Arial Unicode MS" w:hint="eastAsia"/>
                <w:color w:val="595959"/>
                <w:sz w:val="18"/>
                <w:szCs w:val="18"/>
                <w:rtl/>
              </w:rPr>
              <w:t>مشاركة هذه المعلومات مع البنك الأجنبية/النبك الوسيط و موظفيه و مثيليه و مزودي الخدمة له دون أدنى</w:t>
            </w:r>
            <w:r w:rsidRPr="004A3B26">
              <w:rPr>
                <w:rFonts w:ascii="Arial Unicode MS" w:eastAsia="Arial Unicode MS" w:hAnsi="Arial Unicode MS" w:cs="Arial Unicode MS" w:hint="eastAsia"/>
                <w:color w:val="595959"/>
                <w:sz w:val="18"/>
                <w:szCs w:val="18"/>
              </w:rPr>
              <w:br/>
            </w:r>
            <w:r w:rsidRPr="004A3B26">
              <w:rPr>
                <w:rFonts w:ascii="Arial Unicode MS" w:eastAsia="Arial Unicode MS" w:hAnsi="Arial Unicode MS" w:cs="Arial Unicode MS" w:hint="eastAsia"/>
                <w:color w:val="595959"/>
                <w:sz w:val="18"/>
                <w:szCs w:val="18"/>
                <w:rtl/>
              </w:rPr>
              <w:t>مسؤولية على البنك</w:t>
            </w:r>
            <w:r w:rsidRPr="004A3B26">
              <w:rPr>
                <w:rFonts w:ascii="Arial Unicode MS" w:eastAsia="Arial Unicode MS" w:hAnsi="Arial Unicode MS" w:cs="Arial Unicode MS" w:hint="eastAsia"/>
                <w:color w:val="595959"/>
                <w:sz w:val="18"/>
                <w:szCs w:val="18"/>
              </w:rPr>
              <w:t xml:space="preserve"> .</w:t>
            </w:r>
          </w:p>
        </w:tc>
      </w:tr>
      <w:tr w:rsidR="00542BCE" w:rsidRPr="00F23920" w:rsidTr="006B790C">
        <w:tc>
          <w:tcPr>
            <w:tcW w:w="5845" w:type="dxa"/>
            <w:shd w:val="clear" w:color="auto" w:fill="auto"/>
          </w:tcPr>
          <w:p w:rsidR="00542BCE" w:rsidRPr="00F23920" w:rsidRDefault="009F7E59" w:rsidP="00F23920">
            <w:pPr>
              <w:tabs>
                <w:tab w:val="left" w:pos="0"/>
                <w:tab w:val="center" w:pos="2630"/>
              </w:tabs>
              <w:spacing w:line="240" w:lineRule="exact"/>
              <w:rPr>
                <w:rFonts w:ascii="Arial Unicode MS" w:eastAsia="Arial Unicode MS" w:hAnsi="Arial Unicode MS" w:cs="Arial Unicode MS"/>
                <w:b/>
                <w:bCs/>
                <w:color w:val="595959" w:themeColor="text1" w:themeTint="A6"/>
                <w:sz w:val="18"/>
                <w:szCs w:val="18"/>
              </w:rPr>
            </w:pPr>
            <w:r w:rsidRPr="00F23920">
              <w:rPr>
                <w:rFonts w:ascii="Arial Unicode MS" w:eastAsia="Arial Unicode MS" w:hAnsi="Arial Unicode MS" w:cs="Arial Unicode MS" w:hint="eastAsia"/>
                <w:b/>
                <w:bCs/>
                <w:color w:val="595959"/>
                <w:sz w:val="18"/>
                <w:szCs w:val="18"/>
              </w:rPr>
              <w:t>All other related products / services Terms &amp; Conditions are applicable</w:t>
            </w:r>
          </w:p>
        </w:tc>
        <w:tc>
          <w:tcPr>
            <w:tcW w:w="5423" w:type="dxa"/>
            <w:shd w:val="clear" w:color="auto" w:fill="auto"/>
          </w:tcPr>
          <w:p w:rsidR="00542BCE" w:rsidRPr="00F23920" w:rsidRDefault="00542BCE" w:rsidP="00F23920">
            <w:pPr>
              <w:tabs>
                <w:tab w:val="left" w:pos="0"/>
              </w:tabs>
              <w:spacing w:line="240" w:lineRule="exact"/>
              <w:jc w:val="right"/>
              <w:rPr>
                <w:rFonts w:ascii="Arial Unicode MS" w:eastAsia="Arial Unicode MS" w:hAnsi="Arial Unicode MS" w:cs="Arial Unicode MS"/>
                <w:b/>
                <w:bCs/>
                <w:color w:val="595959" w:themeColor="text1" w:themeTint="A6"/>
                <w:sz w:val="18"/>
                <w:szCs w:val="18"/>
                <w:rtl/>
              </w:rPr>
            </w:pPr>
            <w:r w:rsidRPr="00F23920">
              <w:rPr>
                <w:rFonts w:ascii="Arial Unicode MS" w:eastAsia="Arial Unicode MS" w:hAnsi="Arial Unicode MS" w:cs="Arial Unicode MS" w:hint="eastAsia"/>
                <w:b/>
                <w:bCs/>
                <w:color w:val="595959"/>
                <w:sz w:val="18"/>
                <w:szCs w:val="18"/>
                <w:rtl/>
              </w:rPr>
              <w:t>تطبق كافة الشروط والأحكام الأخرى ذات الصلة الخاصة بالمنتجات/الخدمات</w:t>
            </w:r>
          </w:p>
        </w:tc>
      </w:tr>
    </w:tbl>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F23920" w:rsidRDefault="00542BCE" w:rsidP="00F23920">
      <w:pPr>
        <w:spacing w:after="0" w:line="240" w:lineRule="exact"/>
        <w:rPr>
          <w:rFonts w:ascii="Arial Unicode MS" w:eastAsia="Arial Unicode MS" w:hAnsi="Arial Unicode MS" w:cs="Arial Unicode MS"/>
          <w:sz w:val="18"/>
          <w:szCs w:val="18"/>
        </w:rPr>
      </w:pPr>
    </w:p>
    <w:p w:rsidR="00542BCE" w:rsidRPr="00542BCE" w:rsidRDefault="00542BCE" w:rsidP="00542BCE">
      <w:pPr>
        <w:rPr>
          <w:rFonts w:ascii="Arial Unicode MS" w:eastAsia="Arial Unicode MS" w:hAnsi="Arial Unicode MS" w:cs="Arial Unicode MS"/>
          <w:sz w:val="2"/>
          <w:szCs w:val="2"/>
        </w:rPr>
      </w:pPr>
    </w:p>
    <w:p w:rsidR="00542BCE" w:rsidRPr="00542BCE" w:rsidRDefault="00542BCE" w:rsidP="00542BCE">
      <w:pPr>
        <w:rPr>
          <w:rFonts w:ascii="Arial Unicode MS" w:eastAsia="Arial Unicode MS" w:hAnsi="Arial Unicode MS" w:cs="Arial Unicode MS"/>
          <w:sz w:val="2"/>
          <w:szCs w:val="2"/>
        </w:rPr>
      </w:pPr>
    </w:p>
    <w:p w:rsidR="00542BCE" w:rsidRPr="00542BCE" w:rsidRDefault="00542BCE" w:rsidP="00542BCE">
      <w:pPr>
        <w:rPr>
          <w:rFonts w:ascii="Arial Unicode MS" w:eastAsia="Arial Unicode MS" w:hAnsi="Arial Unicode MS" w:cs="Arial Unicode MS"/>
          <w:sz w:val="2"/>
          <w:szCs w:val="2"/>
        </w:rPr>
      </w:pPr>
    </w:p>
    <w:p w:rsidR="00542BCE" w:rsidRPr="00542BCE" w:rsidRDefault="00542BCE" w:rsidP="00542BCE">
      <w:pPr>
        <w:rPr>
          <w:rFonts w:ascii="Arial Unicode MS" w:eastAsia="Arial Unicode MS" w:hAnsi="Arial Unicode MS" w:cs="Arial Unicode MS"/>
          <w:sz w:val="2"/>
          <w:szCs w:val="2"/>
        </w:rPr>
      </w:pPr>
    </w:p>
    <w:p w:rsidR="00903A20" w:rsidRPr="00542BCE" w:rsidRDefault="00903A20" w:rsidP="00542BCE">
      <w:pPr>
        <w:rPr>
          <w:rFonts w:ascii="Arial Unicode MS" w:eastAsia="Arial Unicode MS" w:hAnsi="Arial Unicode MS" w:cs="Arial Unicode MS"/>
          <w:sz w:val="2"/>
          <w:szCs w:val="2"/>
        </w:rPr>
      </w:pPr>
    </w:p>
    <w:sectPr w:rsidR="00903A20" w:rsidRPr="00542BCE" w:rsidSect="00674E1D">
      <w:headerReference w:type="default" r:id="rId8"/>
      <w:footerReference w:type="default" r:id="rId9"/>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6A" w:rsidRDefault="00C4506A" w:rsidP="000F1700">
      <w:pPr>
        <w:spacing w:after="0" w:line="240" w:lineRule="auto"/>
      </w:pPr>
      <w:r>
        <w:separator/>
      </w:r>
    </w:p>
  </w:endnote>
  <w:endnote w:type="continuationSeparator" w:id="0">
    <w:p w:rsidR="00C4506A" w:rsidRDefault="00C4506A"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4E3E4D" w:rsidTr="0032524F">
      <w:trPr>
        <w:trHeight w:val="295"/>
      </w:trPr>
      <w:tc>
        <w:tcPr>
          <w:tcW w:w="5671" w:type="dxa"/>
          <w:hideMark/>
        </w:tcPr>
        <w:p w:rsidR="004E3E4D" w:rsidRPr="004E3E4D" w:rsidRDefault="004E3E4D" w:rsidP="004E3E4D">
          <w:pPr>
            <w:tabs>
              <w:tab w:val="left" w:pos="0"/>
              <w:tab w:val="left" w:pos="1710"/>
            </w:tabs>
            <w:spacing w:line="140" w:lineRule="exact"/>
            <w:jc w:val="both"/>
            <w:rPr>
              <w:rFonts w:ascii="Arial Unicode MS" w:eastAsia="Arial Unicode MS" w:hAnsi="Arial Unicode MS" w:cs="Arial Unicode MS"/>
              <w:color w:val="595959" w:themeColor="text1" w:themeTint="A6"/>
              <w:sz w:val="12"/>
              <w:szCs w:val="12"/>
            </w:rPr>
          </w:pPr>
          <w:r w:rsidRPr="004E3E4D">
            <w:rPr>
              <w:rFonts w:ascii="Arial Unicode MS" w:eastAsia="Arial Unicode MS" w:hAnsi="Arial Unicode MS" w:cs="Arial Unicode MS" w:hint="eastAsia"/>
              <w:color w:val="595959" w:themeColor="text1" w:themeTint="A6"/>
              <w:sz w:val="12"/>
              <w:szCs w:val="12"/>
            </w:rPr>
            <w:t>The Saudi Investment Bank, a Saudi Joint Stock Co., HO: Riyadh CR  </w:t>
          </w:r>
          <w:r w:rsidRPr="004E3E4D">
            <w:rPr>
              <w:rFonts w:ascii="Arial Unicode MS" w:eastAsia="Arial Unicode MS" w:hAnsi="Arial Unicode MS" w:cs="Arial Unicode MS" w:hint="cs"/>
              <w:color w:val="595959" w:themeColor="text1" w:themeTint="A6"/>
              <w:sz w:val="12"/>
              <w:szCs w:val="12"/>
              <w:rtl/>
            </w:rPr>
            <w:t>1010011570</w:t>
          </w:r>
          <w:r w:rsidRPr="004E3E4D">
            <w:rPr>
              <w:rFonts w:ascii="Arial Unicode MS" w:eastAsia="Arial Unicode MS" w:hAnsi="Arial Unicode MS" w:cs="Arial Unicode MS" w:hint="eastAsia"/>
              <w:color w:val="595959" w:themeColor="text1" w:themeTint="A6"/>
              <w:sz w:val="12"/>
              <w:szCs w:val="12"/>
            </w:rPr>
            <w:t>, National Address: 8081- Sheikh Abdul Rahman bin Hassan - Al-Wizarat – Al Maather – Unit No. 2 – AR Riyadh 12622 – 3144,  subject to SAMA supervision</w:t>
          </w:r>
        </w:p>
      </w:tc>
      <w:tc>
        <w:tcPr>
          <w:tcW w:w="5386" w:type="dxa"/>
          <w:hideMark/>
        </w:tcPr>
        <w:p w:rsidR="004E3E4D" w:rsidRPr="004E3E4D" w:rsidRDefault="004E3E4D" w:rsidP="00460FA0">
          <w:pPr>
            <w:tabs>
              <w:tab w:val="left" w:pos="0"/>
            </w:tabs>
            <w:bidi/>
            <w:spacing w:line="140" w:lineRule="exact"/>
            <w:jc w:val="both"/>
            <w:rPr>
              <w:rFonts w:ascii="Arial Unicode MS" w:eastAsia="Arial Unicode MS" w:hAnsi="Arial Unicode MS" w:cs="Arial Unicode MS"/>
              <w:color w:val="595959" w:themeColor="text1" w:themeTint="A6"/>
              <w:sz w:val="12"/>
              <w:szCs w:val="12"/>
              <w:rtl/>
            </w:rPr>
          </w:pPr>
          <w:r w:rsidRPr="004E3E4D">
            <w:rPr>
              <w:rFonts w:ascii="Arial Unicode MS" w:eastAsia="Arial Unicode MS" w:hAnsi="Arial Unicode MS" w:cs="Arial Unicode MS" w:hint="eastAsia"/>
              <w:color w:val="595959" w:themeColor="text1" w:themeTint="A6"/>
              <w:sz w:val="12"/>
              <w:szCs w:val="12"/>
              <w:rtl/>
            </w:rPr>
            <w:t xml:space="preserve">البنك السعودي للاستثمار -شركة مساهمة سعودية، مركزها الرئيسي: الرياض س. ت. 1010011570، العنوان الوطني: </w:t>
          </w:r>
          <w:r w:rsidRPr="004E3E4D">
            <w:rPr>
              <w:rFonts w:ascii="Arial Unicode MS" w:eastAsia="Arial Unicode MS" w:hAnsi="Arial Unicode MS" w:cs="Arial Unicode MS" w:hint="eastAsia"/>
              <w:color w:val="595959" w:themeColor="text1" w:themeTint="A6"/>
              <w:sz w:val="12"/>
              <w:szCs w:val="12"/>
            </w:rPr>
            <w:t>8081</w:t>
          </w:r>
          <w:r w:rsidRPr="004E3E4D">
            <w:rPr>
              <w:rFonts w:ascii="Arial Unicode MS" w:eastAsia="Arial Unicode MS" w:hAnsi="Arial Unicode MS" w:cs="Arial Unicode MS" w:hint="eastAsia"/>
              <w:color w:val="595959" w:themeColor="text1" w:themeTint="A6"/>
              <w:sz w:val="12"/>
              <w:szCs w:val="12"/>
              <w:rtl/>
            </w:rPr>
            <w:t xml:space="preserve"> </w:t>
          </w:r>
          <w:r w:rsidRPr="004E3E4D">
            <w:rPr>
              <w:rFonts w:ascii="Arial Unicode MS" w:eastAsia="Arial Unicode MS" w:hAnsi="Arial Unicode MS" w:cs="Arial Unicode MS" w:hint="cs"/>
              <w:color w:val="595959" w:themeColor="text1" w:themeTint="A6"/>
              <w:sz w:val="12"/>
              <w:szCs w:val="12"/>
              <w:rtl/>
            </w:rPr>
            <w:t xml:space="preserve">-الشيخ عبد الرحمن بن حسن – الوزارات – المعذر – وحدة رقم 2 – الرياض 12622 – 3144، خاضعة لرقابة وإشراف </w:t>
          </w:r>
          <w:r w:rsidR="00460FA0">
            <w:rPr>
              <w:rFonts w:ascii="Arial Unicode MS" w:eastAsia="Arial Unicode MS" w:hAnsi="Arial Unicode MS" w:cs="Arial Unicode MS" w:hint="cs"/>
              <w:color w:val="595959" w:themeColor="text1" w:themeTint="A6"/>
              <w:sz w:val="12"/>
              <w:szCs w:val="12"/>
              <w:rtl/>
            </w:rPr>
            <w:t xml:space="preserve">البنك المركزي السعودي </w:t>
          </w:r>
        </w:p>
      </w:tc>
    </w:tr>
  </w:tbl>
  <w:p w:rsidR="00B90646" w:rsidRPr="007C29B5" w:rsidRDefault="00826336" w:rsidP="004E3E4D">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331D72" w:rsidRPr="00331D72">
              <w:rPr>
                <w:rFonts w:ascii="Arial Unicode MS" w:eastAsia="Arial Unicode MS" w:hAnsi="Arial Unicode MS" w:cs="Arial Unicode MS"/>
                <w:color w:val="595959" w:themeColor="text1" w:themeTint="A6"/>
                <w:sz w:val="16"/>
                <w:szCs w:val="16"/>
              </w:rPr>
              <w:t>C.WB.001</w:t>
            </w:r>
            <w:r w:rsidR="00331D72">
              <w:rPr>
                <w:rFonts w:ascii="Arial Unicode MS" w:eastAsia="Arial Unicode MS" w:hAnsi="Arial Unicode MS" w:cs="Arial Unicode MS"/>
                <w:color w:val="595959" w:themeColor="text1" w:themeTint="A6"/>
                <w:sz w:val="16"/>
                <w:szCs w:val="16"/>
              </w:rPr>
              <w:t>.</w:t>
            </w:r>
            <w:r w:rsidR="00331D72" w:rsidRPr="00331D72">
              <w:rPr>
                <w:rFonts w:ascii="Arial Unicode MS" w:eastAsia="Arial Unicode MS" w:hAnsi="Arial Unicode MS" w:cs="Arial Unicode MS"/>
                <w:color w:val="595959" w:themeColor="text1" w:themeTint="A6"/>
                <w:sz w:val="16"/>
                <w:szCs w:val="16"/>
              </w:rPr>
              <w:t>0</w:t>
            </w:r>
            <w:r w:rsidR="004E3E4D">
              <w:rPr>
                <w:rFonts w:ascii="Arial Unicode MS" w:eastAsia="Arial Unicode MS" w:hAnsi="Arial Unicode MS" w:cs="Arial Unicode MS"/>
                <w:color w:val="595959" w:themeColor="text1" w:themeTint="A6"/>
                <w:sz w:val="16"/>
                <w:szCs w:val="16"/>
              </w:rPr>
              <w:t>2</w:t>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t xml:space="preserve">   </w:t>
            </w:r>
            <w:r w:rsidR="00B90646" w:rsidRPr="007C29B5">
              <w:rPr>
                <w:rFonts w:ascii="Arial Unicode MS" w:eastAsia="Arial Unicode MS" w:hAnsi="Arial Unicode MS" w:cs="Arial Unicode MS"/>
                <w:color w:val="595959" w:themeColor="text1" w:themeTint="A6"/>
                <w:sz w:val="16"/>
                <w:szCs w:val="16"/>
              </w:rPr>
              <w:t xml:space="preserve">Page </w:t>
            </w:r>
            <w:r w:rsidR="00B90646" w:rsidRPr="007C29B5">
              <w:rPr>
                <w:rFonts w:ascii="Arial Unicode MS" w:eastAsia="Arial Unicode MS" w:hAnsi="Arial Unicode MS" w:cs="Arial Unicode MS"/>
                <w:b/>
                <w:bCs/>
                <w:color w:val="595959" w:themeColor="text1" w:themeTint="A6"/>
                <w:sz w:val="16"/>
                <w:szCs w:val="16"/>
              </w:rPr>
              <w:fldChar w:fldCharType="begin"/>
            </w:r>
            <w:r w:rsidR="00B90646" w:rsidRPr="007C29B5">
              <w:rPr>
                <w:rFonts w:ascii="Arial Unicode MS" w:eastAsia="Arial Unicode MS" w:hAnsi="Arial Unicode MS" w:cs="Arial Unicode MS"/>
                <w:b/>
                <w:bCs/>
                <w:color w:val="595959" w:themeColor="text1" w:themeTint="A6"/>
                <w:sz w:val="16"/>
                <w:szCs w:val="16"/>
              </w:rPr>
              <w:instrText xml:space="preserve"> PAGE </w:instrText>
            </w:r>
            <w:r w:rsidR="00B90646"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w:t>
            </w:r>
            <w:r w:rsidR="00B90646" w:rsidRPr="007C29B5">
              <w:rPr>
                <w:rFonts w:ascii="Arial Unicode MS" w:eastAsia="Arial Unicode MS" w:hAnsi="Arial Unicode MS" w:cs="Arial Unicode MS"/>
                <w:b/>
                <w:bCs/>
                <w:color w:val="595959" w:themeColor="text1" w:themeTint="A6"/>
                <w:sz w:val="16"/>
                <w:szCs w:val="16"/>
              </w:rPr>
              <w:fldChar w:fldCharType="end"/>
            </w:r>
            <w:r w:rsidR="00B90646" w:rsidRPr="007C29B5">
              <w:rPr>
                <w:rFonts w:ascii="Arial Unicode MS" w:eastAsia="Arial Unicode MS" w:hAnsi="Arial Unicode MS" w:cs="Arial Unicode MS"/>
                <w:color w:val="595959" w:themeColor="text1" w:themeTint="A6"/>
                <w:sz w:val="16"/>
                <w:szCs w:val="16"/>
              </w:rPr>
              <w:t xml:space="preserve"> of </w:t>
            </w:r>
            <w:r w:rsidR="00B90646" w:rsidRPr="007C29B5">
              <w:rPr>
                <w:rFonts w:ascii="Arial Unicode MS" w:eastAsia="Arial Unicode MS" w:hAnsi="Arial Unicode MS" w:cs="Arial Unicode MS"/>
                <w:b/>
                <w:bCs/>
                <w:color w:val="595959" w:themeColor="text1" w:themeTint="A6"/>
                <w:sz w:val="16"/>
                <w:szCs w:val="16"/>
              </w:rPr>
              <w:fldChar w:fldCharType="begin"/>
            </w:r>
            <w:r w:rsidR="00B90646" w:rsidRPr="007C29B5">
              <w:rPr>
                <w:rFonts w:ascii="Arial Unicode MS" w:eastAsia="Arial Unicode MS" w:hAnsi="Arial Unicode MS" w:cs="Arial Unicode MS"/>
                <w:b/>
                <w:bCs/>
                <w:color w:val="595959" w:themeColor="text1" w:themeTint="A6"/>
                <w:sz w:val="16"/>
                <w:szCs w:val="16"/>
              </w:rPr>
              <w:instrText xml:space="preserve"> NUMPAGES  </w:instrText>
            </w:r>
            <w:r w:rsidR="00B90646"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w:t>
            </w:r>
            <w:r w:rsidR="00B90646"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BF7E7C" w:rsidRDefault="00BF7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6A" w:rsidRDefault="00C4506A" w:rsidP="000F1700">
      <w:pPr>
        <w:spacing w:after="0" w:line="240" w:lineRule="auto"/>
      </w:pPr>
      <w:r>
        <w:separator/>
      </w:r>
    </w:p>
  </w:footnote>
  <w:footnote w:type="continuationSeparator" w:id="0">
    <w:p w:rsidR="00C4506A" w:rsidRDefault="00C4506A"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FD5214" w:rsidTr="00FD5214">
      <w:trPr>
        <w:trHeight w:val="184"/>
      </w:trPr>
      <w:tc>
        <w:tcPr>
          <w:tcW w:w="2775" w:type="dxa"/>
        </w:tcPr>
        <w:p w:rsidR="00FD5214" w:rsidRDefault="00FD5214" w:rsidP="003C1AA1">
          <w:pPr>
            <w:pStyle w:val="Header"/>
            <w:jc w:val="both"/>
          </w:pPr>
          <w:r>
            <w:rPr>
              <w:noProof/>
            </w:rPr>
            <w:drawing>
              <wp:inline distT="0" distB="0" distL="0" distR="0" wp14:anchorId="7342C33C" wp14:editId="6348C483">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vAlign w:val="center"/>
        </w:tcPr>
        <w:p w:rsidR="00FD5214" w:rsidRPr="001C67A1" w:rsidRDefault="001C67A1" w:rsidP="006B790C">
          <w:pPr>
            <w:pStyle w:val="Header"/>
            <w:bidi/>
            <w:spacing w:line="320" w:lineRule="exact"/>
            <w:rPr>
              <w:rFonts w:ascii="Arial Unicode MS" w:eastAsia="Arial Unicode MS" w:hAnsi="Arial Unicode MS" w:cs="Arial Unicode MS"/>
              <w:b/>
              <w:bCs/>
              <w:color w:val="595959" w:themeColor="text1" w:themeTint="A6"/>
              <w:sz w:val="32"/>
              <w:szCs w:val="32"/>
              <w:rtl/>
            </w:rPr>
          </w:pPr>
          <w:r w:rsidRPr="001C67A1">
            <w:rPr>
              <w:rFonts w:ascii="Arial Unicode MS" w:eastAsia="Arial Unicode MS" w:hAnsi="Arial Unicode MS" w:cs="Arial Unicode MS" w:hint="cs"/>
              <w:b/>
              <w:bCs/>
              <w:color w:val="595959" w:themeColor="text1" w:themeTint="A6"/>
              <w:sz w:val="32"/>
              <w:szCs w:val="32"/>
              <w:rtl/>
            </w:rPr>
            <w:t xml:space="preserve">شروط وأحكام </w:t>
          </w:r>
          <w:r w:rsidR="00FD5214" w:rsidRPr="001C67A1">
            <w:rPr>
              <w:rFonts w:ascii="Arial Unicode MS" w:eastAsia="Arial Unicode MS" w:hAnsi="Arial Unicode MS" w:cs="Arial Unicode MS" w:hint="cs"/>
              <w:b/>
              <w:bCs/>
              <w:color w:val="595959" w:themeColor="text1" w:themeTint="A6"/>
              <w:sz w:val="32"/>
              <w:szCs w:val="32"/>
              <w:rtl/>
            </w:rPr>
            <w:t xml:space="preserve">فليكس ترانسفير(التحويل الدولي) </w:t>
          </w:r>
        </w:p>
        <w:p w:rsidR="00FD5214" w:rsidRPr="003F2F4B" w:rsidRDefault="001C67A1" w:rsidP="006B790C">
          <w:pPr>
            <w:pStyle w:val="Header"/>
            <w:spacing w:line="320" w:lineRule="exact"/>
            <w:jc w:val="right"/>
            <w:rPr>
              <w:rFonts w:ascii="Arial Unicode MS" w:eastAsia="Arial Unicode MS" w:hAnsi="Arial Unicode MS" w:cs="Arial Unicode MS"/>
              <w:b/>
              <w:bCs/>
              <w:color w:val="595959" w:themeColor="text1" w:themeTint="A6"/>
              <w:sz w:val="28"/>
              <w:szCs w:val="28"/>
              <w:rtl/>
            </w:rPr>
          </w:pPr>
          <w:r w:rsidRPr="001C67A1">
            <w:rPr>
              <w:rFonts w:ascii="Arial Unicode MS" w:eastAsia="Arial Unicode MS" w:hAnsi="Arial Unicode MS" w:cs="Arial Unicode MS"/>
              <w:b/>
              <w:bCs/>
              <w:color w:val="595959" w:themeColor="text1" w:themeTint="A6"/>
              <w:sz w:val="32"/>
              <w:szCs w:val="32"/>
            </w:rPr>
            <w:t xml:space="preserve">Terms and Conditions Of </w:t>
          </w:r>
          <w:r w:rsidR="00FD5214" w:rsidRPr="001C67A1">
            <w:rPr>
              <w:rFonts w:ascii="Arial Unicode MS" w:eastAsia="Arial Unicode MS" w:hAnsi="Arial Unicode MS" w:cs="Arial Unicode MS"/>
              <w:b/>
              <w:bCs/>
              <w:color w:val="595959" w:themeColor="text1" w:themeTint="A6"/>
              <w:sz w:val="32"/>
              <w:szCs w:val="32"/>
            </w:rPr>
            <w:t xml:space="preserve">Flexx Transfer </w:t>
          </w:r>
          <w:r w:rsidR="00FD5214" w:rsidRPr="001C67A1">
            <w:rPr>
              <w:rFonts w:ascii="Arial Unicode MS" w:eastAsia="Arial Unicode MS" w:hAnsi="Arial Unicode MS" w:cs="Arial Unicode MS" w:hint="cs"/>
              <w:b/>
              <w:bCs/>
              <w:color w:val="595959" w:themeColor="text1" w:themeTint="A6"/>
              <w:sz w:val="32"/>
              <w:szCs w:val="32"/>
              <w:rtl/>
            </w:rPr>
            <w:t xml:space="preserve"> </w:t>
          </w:r>
          <w:r w:rsidR="00FD5214" w:rsidRPr="001C67A1">
            <w:rPr>
              <w:rFonts w:ascii="Arial Unicode MS" w:eastAsia="Arial Unicode MS" w:hAnsi="Arial Unicode MS" w:cs="Arial Unicode MS"/>
              <w:b/>
              <w:bCs/>
              <w:color w:val="595959" w:themeColor="text1" w:themeTint="A6"/>
              <w:sz w:val="32"/>
              <w:szCs w:val="32"/>
            </w:rPr>
            <w:t>(Remittance)</w:t>
          </w:r>
        </w:p>
      </w:tc>
    </w:tr>
  </w:tbl>
  <w:p w:rsidR="000F1700" w:rsidRPr="000F1700" w:rsidRDefault="000F1700">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81AA3"/>
    <w:multiLevelType w:val="hybridMultilevel"/>
    <w:tmpl w:val="5806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n7heFQaoFdasJsrQzLpNfCtJ0rjrzsQGuOlXQOlq9wHy5b+g4zScIrSpmk2dDtUTeX6RapuDCtUkz8FX6yd7MQ==" w:salt="gXqoR/zaxT8WEBgpRcGUw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21F6"/>
    <w:rsid w:val="00057164"/>
    <w:rsid w:val="0007628C"/>
    <w:rsid w:val="00080EA2"/>
    <w:rsid w:val="000A4CAF"/>
    <w:rsid w:val="000B753A"/>
    <w:rsid w:val="000C70DA"/>
    <w:rsid w:val="000F1700"/>
    <w:rsid w:val="001361A9"/>
    <w:rsid w:val="00151078"/>
    <w:rsid w:val="001C67A1"/>
    <w:rsid w:val="001C7CEC"/>
    <w:rsid w:val="001E385A"/>
    <w:rsid w:val="001E66A8"/>
    <w:rsid w:val="001F7944"/>
    <w:rsid w:val="00212564"/>
    <w:rsid w:val="002248C4"/>
    <w:rsid w:val="00243A09"/>
    <w:rsid w:val="0026608E"/>
    <w:rsid w:val="002968DC"/>
    <w:rsid w:val="0032700E"/>
    <w:rsid w:val="00330EEB"/>
    <w:rsid w:val="00331D72"/>
    <w:rsid w:val="0034032F"/>
    <w:rsid w:val="00356E61"/>
    <w:rsid w:val="00357849"/>
    <w:rsid w:val="003705A0"/>
    <w:rsid w:val="00387F1F"/>
    <w:rsid w:val="003C1AA1"/>
    <w:rsid w:val="003E5768"/>
    <w:rsid w:val="00400D49"/>
    <w:rsid w:val="004156C3"/>
    <w:rsid w:val="0042320D"/>
    <w:rsid w:val="00434ED7"/>
    <w:rsid w:val="00460FA0"/>
    <w:rsid w:val="00482802"/>
    <w:rsid w:val="004A3B26"/>
    <w:rsid w:val="004A7CB8"/>
    <w:rsid w:val="004E3E4D"/>
    <w:rsid w:val="004F5F41"/>
    <w:rsid w:val="0050620F"/>
    <w:rsid w:val="005168D6"/>
    <w:rsid w:val="00542BCE"/>
    <w:rsid w:val="00554577"/>
    <w:rsid w:val="005F43A5"/>
    <w:rsid w:val="006205C5"/>
    <w:rsid w:val="00632C77"/>
    <w:rsid w:val="00674E1D"/>
    <w:rsid w:val="006924D9"/>
    <w:rsid w:val="006B790C"/>
    <w:rsid w:val="006D789B"/>
    <w:rsid w:val="007833CA"/>
    <w:rsid w:val="007877B9"/>
    <w:rsid w:val="007921B6"/>
    <w:rsid w:val="007C29B5"/>
    <w:rsid w:val="00803F90"/>
    <w:rsid w:val="00805C43"/>
    <w:rsid w:val="00822763"/>
    <w:rsid w:val="00826336"/>
    <w:rsid w:val="0084203E"/>
    <w:rsid w:val="008518A1"/>
    <w:rsid w:val="00871040"/>
    <w:rsid w:val="008802B0"/>
    <w:rsid w:val="008805CC"/>
    <w:rsid w:val="00903A20"/>
    <w:rsid w:val="00924A67"/>
    <w:rsid w:val="00933599"/>
    <w:rsid w:val="00937B71"/>
    <w:rsid w:val="009E066F"/>
    <w:rsid w:val="009F7E59"/>
    <w:rsid w:val="00A07110"/>
    <w:rsid w:val="00A50269"/>
    <w:rsid w:val="00A54D0C"/>
    <w:rsid w:val="00A851C6"/>
    <w:rsid w:val="00AB68BE"/>
    <w:rsid w:val="00B11368"/>
    <w:rsid w:val="00B56D58"/>
    <w:rsid w:val="00B86843"/>
    <w:rsid w:val="00B90646"/>
    <w:rsid w:val="00B93FAD"/>
    <w:rsid w:val="00BF5085"/>
    <w:rsid w:val="00BF7E7C"/>
    <w:rsid w:val="00C07606"/>
    <w:rsid w:val="00C170A9"/>
    <w:rsid w:val="00C4506A"/>
    <w:rsid w:val="00C73493"/>
    <w:rsid w:val="00C94A6A"/>
    <w:rsid w:val="00CA013A"/>
    <w:rsid w:val="00CB3AF9"/>
    <w:rsid w:val="00CD59B4"/>
    <w:rsid w:val="00D36F63"/>
    <w:rsid w:val="00D544DD"/>
    <w:rsid w:val="00D95815"/>
    <w:rsid w:val="00D95C74"/>
    <w:rsid w:val="00DC70E9"/>
    <w:rsid w:val="00DD45D7"/>
    <w:rsid w:val="00DE4A03"/>
    <w:rsid w:val="00E62612"/>
    <w:rsid w:val="00EA27BE"/>
    <w:rsid w:val="00EB214E"/>
    <w:rsid w:val="00EF51F9"/>
    <w:rsid w:val="00F06A14"/>
    <w:rsid w:val="00F23920"/>
    <w:rsid w:val="00F36AFF"/>
    <w:rsid w:val="00FA0D78"/>
    <w:rsid w:val="00FC5AC8"/>
    <w:rsid w:val="00FD52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71F21"/>
  <w15:docId w15:val="{C4F9DF23-1CAD-440E-AFE1-2B0ADAE8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customStyle="1" w:styleId="shorttext">
    <w:name w:val="short_text"/>
    <w:basedOn w:val="DefaultParagraphFont"/>
    <w:rsid w:val="003C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B5C3-31F1-45B8-9D7F-B42C0C8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Wafa Al-Ammari</cp:lastModifiedBy>
  <cp:revision>7</cp:revision>
  <dcterms:created xsi:type="dcterms:W3CDTF">2019-10-03T06:19:00Z</dcterms:created>
  <dcterms:modified xsi:type="dcterms:W3CDTF">2021-01-26T11:12:00Z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fb5e307b-86a0-4a73-a13f-df2324c50913</vt:lpwstr>
  </property>
  <property fmtid="{D5CDD505-2E9C-101B-9397-08002B2CF9AE}" pid="3" name="bjSaver">
    <vt:lpwstr>7YJ3NBkE8MX51bMbeA7y3/GiRhIl+gMO</vt:lpwstr>
  </property>
  <property fmtid="{D5CDD505-2E9C-101B-9397-08002B2CF9AE}" pid="4" name="bjDocumentLabelXML">
    <vt:lpwstr>&lt;?xml version="1.0" encoding="us-ascii"?&gt;&lt;sisl xmlns:xsi="http://www.w3.org/2001/XMLSchema-instance" xmlns:xsd="http://www.w3.org/2001/XMLSchema"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BJ Classification">
    <vt:lpwstr>BJ: GENERAL BUSINESS</vt:lpwstr>
  </property>
  <property fmtid="{D5CDD505-2E9C-101B-9397-08002B2CF9AE}" pid="8" name="User and Date">
    <vt:lpwstr>GENERAL BUSINESS_x000d_
z301amwa - 10/3/2019 9:19:51 AM</vt:lpwstr>
  </property>
</Properties>
</file>