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0E308F"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0E308F"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bookmarkStart w:id="1" w:name="_GoBack"/>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bookmarkEnd w:id="1"/>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lastRenderedPageBreak/>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E308F">
              <w:rPr>
                <w:rFonts w:ascii="Arial Unicode MS" w:eastAsia="Arial Unicode MS" w:hAnsi="Arial Unicode MS" w:cs="Arial Unicode MS"/>
                <w:color w:val="595959" w:themeColor="text1" w:themeTint="A6"/>
                <w:sz w:val="12"/>
                <w:szCs w:val="12"/>
                <w:rtl/>
              </w:rPr>
            </w:r>
            <w:r w:rsidR="000E308F">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E308F">
              <w:rPr>
                <w:rFonts w:ascii="Arial Unicode MS" w:eastAsia="Arial Unicode MS" w:hAnsi="Arial Unicode MS" w:cs="Arial Unicode MS"/>
                <w:color w:val="595959" w:themeColor="text1" w:themeTint="A6"/>
                <w:sz w:val="18"/>
                <w:szCs w:val="18"/>
                <w:rtl/>
              </w:rPr>
            </w:r>
            <w:r w:rsidR="000E308F">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r w:rsidR="008C5524" w:rsidRPr="008047B7" w:rsidTr="00271A5C">
        <w:tc>
          <w:tcPr>
            <w:tcW w:w="2781" w:type="dxa"/>
            <w:gridSpan w:val="3"/>
          </w:tcPr>
          <w:p w:rsidR="008C5524" w:rsidRDefault="008C5524" w:rsidP="008C5524">
            <w:pPr>
              <w:tabs>
                <w:tab w:val="left" w:pos="0"/>
              </w:tabs>
              <w:bidi/>
              <w:spacing w:line="280" w:lineRule="exact"/>
              <w:jc w:val="right"/>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color w:val="595959" w:themeColor="text1" w:themeTint="A6"/>
                <w:sz w:val="20"/>
                <w:szCs w:val="20"/>
              </w:rPr>
              <w:t>Purpose of Opening Account</w:t>
            </w:r>
          </w:p>
        </w:tc>
        <w:tc>
          <w:tcPr>
            <w:tcW w:w="5645" w:type="dxa"/>
            <w:gridSpan w:val="7"/>
          </w:tcPr>
          <w:p w:rsidR="008C5524" w:rsidRDefault="008C5524" w:rsidP="008C5524">
            <w:pPr>
              <w:tabs>
                <w:tab w:val="left" w:pos="0"/>
              </w:tabs>
              <w:bidi/>
              <w:spacing w:line="280" w:lineRule="exact"/>
              <w:jc w:val="center"/>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tl/>
              </w:rPr>
              <w:fldChar w:fldCharType="begin">
                <w:ffData>
                  <w:name w:val="Text44"/>
                  <w:enabled/>
                  <w:calcOnExit w:val="0"/>
                  <w:textInput/>
                </w:ffData>
              </w:fldChar>
            </w:r>
            <w:bookmarkStart w:id="6" w:name="Text44"/>
            <w:r>
              <w:rPr>
                <w:rFonts w:ascii="Arial Unicode MS" w:eastAsia="Arial Unicode MS" w:hAnsi="Arial Unicode MS" w:cs="Arial Unicode MS" w:hint="eastAsia"/>
                <w:b/>
                <w:bCs/>
                <w:color w:val="595959" w:themeColor="text1" w:themeTint="A6"/>
                <w:rtl/>
              </w:rPr>
              <w:instrText xml:space="preserve"> </w:instrText>
            </w:r>
            <w:r>
              <w:rPr>
                <w:rFonts w:ascii="Arial Unicode MS" w:eastAsia="Arial Unicode MS" w:hAnsi="Arial Unicode MS" w:cs="Arial Unicode MS" w:hint="eastAsia"/>
                <w:b/>
                <w:bCs/>
                <w:color w:val="595959" w:themeColor="text1" w:themeTint="A6"/>
              </w:rPr>
              <w:instrText>FORMTEXT</w:instrText>
            </w:r>
            <w:r>
              <w:rPr>
                <w:rFonts w:ascii="Arial Unicode MS" w:eastAsia="Arial Unicode MS" w:hAnsi="Arial Unicode MS" w:cs="Arial Unicode MS" w:hint="eastAsia"/>
                <w:b/>
                <w:bCs/>
                <w:color w:val="595959" w:themeColor="text1" w:themeTint="A6"/>
                <w:rtl/>
              </w:rPr>
              <w:instrText xml:space="preserve"> </w:instrText>
            </w:r>
            <w:r>
              <w:rPr>
                <w:rFonts w:ascii="Arial Unicode MS" w:eastAsia="Arial Unicode MS" w:hAnsi="Arial Unicode MS" w:cs="Arial Unicode MS" w:hint="eastAsia"/>
                <w:b/>
                <w:bCs/>
                <w:color w:val="595959" w:themeColor="text1" w:themeTint="A6"/>
                <w:rtl/>
              </w:rPr>
            </w:r>
            <w:r>
              <w:rPr>
                <w:rFonts w:ascii="Arial Unicode MS" w:eastAsia="Arial Unicode MS" w:hAnsi="Arial Unicode MS" w:cs="Arial Unicode MS" w:hint="eastAsia"/>
                <w:b/>
                <w:bCs/>
                <w:color w:val="595959" w:themeColor="text1" w:themeTint="A6"/>
                <w:rtl/>
              </w:rPr>
              <w:fldChar w:fldCharType="separate"/>
            </w:r>
            <w:r>
              <w:rPr>
                <w:rFonts w:ascii="Arial Unicode MS" w:eastAsia="Arial Unicode MS" w:hAnsi="Arial Unicode MS" w:cs="Arial Unicode MS" w:hint="eastAsia"/>
                <w:b/>
                <w:bCs/>
                <w:noProof/>
                <w:color w:val="595959" w:themeColor="text1" w:themeTint="A6"/>
                <w:rtl/>
              </w:rPr>
              <w:t> </w:t>
            </w:r>
            <w:r>
              <w:rPr>
                <w:rFonts w:ascii="Arial Unicode MS" w:eastAsia="Arial Unicode MS" w:hAnsi="Arial Unicode MS" w:cs="Arial Unicode MS" w:hint="eastAsia"/>
                <w:b/>
                <w:bCs/>
                <w:noProof/>
                <w:color w:val="595959" w:themeColor="text1" w:themeTint="A6"/>
                <w:rtl/>
              </w:rPr>
              <w:t> </w:t>
            </w:r>
            <w:r>
              <w:rPr>
                <w:rFonts w:ascii="Arial Unicode MS" w:eastAsia="Arial Unicode MS" w:hAnsi="Arial Unicode MS" w:cs="Arial Unicode MS" w:hint="eastAsia"/>
                <w:b/>
                <w:bCs/>
                <w:noProof/>
                <w:color w:val="595959" w:themeColor="text1" w:themeTint="A6"/>
                <w:rtl/>
              </w:rPr>
              <w:t> </w:t>
            </w:r>
            <w:r>
              <w:rPr>
                <w:rFonts w:ascii="Arial Unicode MS" w:eastAsia="Arial Unicode MS" w:hAnsi="Arial Unicode MS" w:cs="Arial Unicode MS" w:hint="eastAsia"/>
                <w:b/>
                <w:bCs/>
                <w:noProof/>
                <w:color w:val="595959" w:themeColor="text1" w:themeTint="A6"/>
                <w:rtl/>
              </w:rPr>
              <w:t> </w:t>
            </w:r>
            <w:r>
              <w:rPr>
                <w:rFonts w:ascii="Arial Unicode MS" w:eastAsia="Arial Unicode MS" w:hAnsi="Arial Unicode MS" w:cs="Arial Unicode MS" w:hint="eastAsia"/>
                <w:b/>
                <w:bCs/>
                <w:noProof/>
                <w:color w:val="595959" w:themeColor="text1" w:themeTint="A6"/>
                <w:rtl/>
              </w:rPr>
              <w:t> </w:t>
            </w:r>
            <w:r>
              <w:rPr>
                <w:rFonts w:hint="eastAsia"/>
                <w:rtl/>
              </w:rPr>
              <w:fldChar w:fldCharType="end"/>
            </w:r>
            <w:bookmarkEnd w:id="6"/>
          </w:p>
        </w:tc>
        <w:tc>
          <w:tcPr>
            <w:tcW w:w="2842" w:type="dxa"/>
            <w:gridSpan w:val="3"/>
          </w:tcPr>
          <w:p w:rsidR="008C5524" w:rsidRDefault="008C5524" w:rsidP="008C5524">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eastAsia"/>
                <w:color w:val="595959" w:themeColor="text1" w:themeTint="A6"/>
                <w:sz w:val="20"/>
                <w:szCs w:val="20"/>
                <w:rtl/>
              </w:rPr>
              <w:t>الغرض من فتح الحساب</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8"/>
          <w:footerReference w:type="default" r:id="rId9"/>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E308F">
              <w:rPr>
                <w:rFonts w:ascii="Arial Unicode MS" w:eastAsia="Arial Unicode MS" w:hAnsi="Arial Unicode MS" w:cs="Arial Unicode MS"/>
                <w:color w:val="595959" w:themeColor="text1" w:themeTint="A6"/>
                <w:sz w:val="16"/>
                <w:szCs w:val="16"/>
                <w:rtl/>
              </w:rPr>
            </w:r>
            <w:r w:rsidR="000E308F">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7"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7"/>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Default="00CA4779" w:rsidP="00CA4779">
      <w:pPr>
        <w:tabs>
          <w:tab w:val="left" w:pos="3299"/>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p w:rsidR="00A235BC" w:rsidRPr="00CA4779" w:rsidRDefault="00CA4779" w:rsidP="00CA4779">
      <w:pPr>
        <w:tabs>
          <w:tab w:val="left" w:pos="3299"/>
        </w:tabs>
        <w:rPr>
          <w:rFonts w:ascii="Arial Unicode MS" w:eastAsia="Arial Unicode MS" w:hAnsi="Arial Unicode MS" w:cs="Arial Unicode MS"/>
          <w:sz w:val="2"/>
          <w:szCs w:val="2"/>
        </w:rPr>
        <w:sectPr w:rsidR="00A235BC" w:rsidRPr="00CA4779" w:rsidSect="00674E1D">
          <w:headerReference w:type="default" r:id="rId10"/>
          <w:footerReference w:type="default" r:id="rId11"/>
          <w:pgSz w:w="11907" w:h="16839" w:code="9"/>
          <w:pgMar w:top="576" w:right="432" w:bottom="288" w:left="432" w:header="360" w:footer="0" w:gutter="0"/>
          <w:cols w:space="720"/>
          <w:docGrid w:linePitch="360"/>
        </w:sectPr>
      </w:pPr>
      <w:r>
        <w:rPr>
          <w:rFonts w:ascii="Arial Unicode MS" w:eastAsia="Arial Unicode MS" w:hAnsi="Arial Unicode MS" w:cs="Arial Unicode MS"/>
          <w:sz w:val="2"/>
          <w:szCs w:val="2"/>
        </w:rPr>
        <w:tab/>
      </w: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90"/>
      </w:tblGrid>
      <w:tr w:rsidR="00864A35" w:rsidRPr="00A13637" w:rsidTr="00EB7C3E">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rPr>
          <w:trHeight w:val="260"/>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 pursuant to Sharia </w:t>
            </w:r>
            <w:r w:rsidR="00EB7C3E" w:rsidRPr="008D79FA">
              <w:rPr>
                <w:rFonts w:ascii="Arial Unicode MS" w:eastAsia="Arial Unicode MS" w:hAnsi="Arial Unicode MS" w:cs="Arial Unicode MS"/>
                <w:color w:val="595959" w:themeColor="text1" w:themeTint="A6"/>
                <w:sz w:val="14"/>
                <w:szCs w:val="14"/>
              </w:rPr>
              <w:t>rules, opened</w:t>
            </w:r>
            <w:r w:rsidRPr="008D79FA">
              <w:rPr>
                <w:rFonts w:ascii="Arial Unicode MS" w:eastAsia="Arial Unicode MS" w:hAnsi="Arial Unicode MS" w:cs="Arial Unicode MS"/>
                <w:color w:val="595959" w:themeColor="text1" w:themeTint="A6"/>
                <w:sz w:val="14"/>
                <w:szCs w:val="14"/>
              </w:rPr>
              <w:t xml:space="preserve">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متوافق مع أحكام الشريعة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أصالة عن أنفسهم أو بالوكالة في حالة الحساب المشترك.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xml:space="preserve">: if the account balance became overdrawn for any reason, or in case the bank upon his sole discretion has agreed to overdraw the account; The account </w:t>
            </w:r>
            <w:r w:rsidRPr="008D79FA">
              <w:rPr>
                <w:rFonts w:ascii="Arial Unicode MS" w:eastAsia="Arial Unicode MS" w:hAnsi="Arial Unicode MS" w:cs="Arial Unicode MS" w:hint="eastAsia"/>
                <w:color w:val="595959" w:themeColor="text1" w:themeTint="A6"/>
                <w:sz w:val="14"/>
                <w:szCs w:val="14"/>
              </w:rPr>
              <w:lastRenderedPageBreak/>
              <w:t>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lastRenderedPageBreak/>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w:t>
            </w:r>
            <w:r w:rsidRPr="008D79FA">
              <w:rPr>
                <w:rFonts w:ascii="Arial Unicode MS" w:eastAsia="Arial Unicode MS" w:hAnsi="Arial Unicode MS" w:cs="Arial Unicode MS" w:hint="eastAsia"/>
                <w:color w:val="595959" w:themeColor="text1" w:themeTint="A6"/>
                <w:sz w:val="14"/>
                <w:szCs w:val="14"/>
                <w:rtl/>
              </w:rPr>
              <w:lastRenderedPageBreak/>
              <w:t>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lastRenderedPageBreak/>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authorities, a judicial order, a binding arbitration award, or by a written agreement of all the claimants or such other documentary evidence acceptable to the Bank.</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w:t>
            </w:r>
            <w:r w:rsidRPr="008D79FA">
              <w:rPr>
                <w:rFonts w:ascii="Arial Unicode MS" w:eastAsia="Arial Unicode MS" w:hAnsi="Arial Unicode MS" w:cs="Arial Unicode MS"/>
                <w:color w:val="595959" w:themeColor="text1" w:themeTint="A6"/>
                <w:sz w:val="14"/>
                <w:szCs w:val="14"/>
              </w:rPr>
              <w:lastRenderedPageBreak/>
              <w:t>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acknowledged by the Bank. The Bank shall have no duty of enquiry as to cheques or payment orders payable to an authorized signatory.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w:t>
            </w:r>
            <w:r w:rsidRPr="008D79FA">
              <w:rPr>
                <w:rFonts w:ascii="Arial Unicode MS" w:eastAsia="Arial Unicode MS" w:hAnsi="Arial Unicode MS" w:cs="Arial Unicode MS"/>
                <w:color w:val="595959" w:themeColor="text1" w:themeTint="A6"/>
                <w:sz w:val="14"/>
                <w:szCs w:val="14"/>
              </w:rPr>
              <w:lastRenderedPageBreak/>
              <w:t xml:space="preserve">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 Cardholders may be asked to enter their PIN occasionally for extra security</w:t>
            </w:r>
          </w:p>
        </w:tc>
        <w:tc>
          <w:tcPr>
            <w:tcW w:w="5490" w:type="dxa"/>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bl>
    <w:p w:rsidR="00CA4779" w:rsidRDefault="00CA4779"/>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lastRenderedPageBreak/>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 supplementary Card may be issued pursuant to a written/authenticated request submitted by the Primary Card member to the Bank requesting issuance of a 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15-3 The Bank shall be entitled to freeze the account of the Card and de-activate the Card upon expiry of the ID/Iqama of the Card member or in case of failure to </w:t>
            </w:r>
            <w:r w:rsidRPr="008D79FA">
              <w:rPr>
                <w:rFonts w:ascii="Arial Unicode MS" w:eastAsia="Arial Unicode MS" w:hAnsi="Arial Unicode MS" w:cs="Arial Unicode MS"/>
                <w:color w:val="595959" w:themeColor="text1" w:themeTint="A6"/>
                <w:sz w:val="14"/>
                <w:szCs w:val="14"/>
              </w:rPr>
              <w:lastRenderedPageBreak/>
              <w:t>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w:t>
            </w:r>
            <w:r w:rsidRPr="008D79FA">
              <w:rPr>
                <w:rFonts w:ascii="Arial Unicode MS" w:eastAsia="Arial Unicode MS" w:hAnsi="Arial Unicode MS" w:cs="Arial Unicode MS"/>
                <w:color w:val="595959" w:themeColor="text1" w:themeTint="A6"/>
                <w:sz w:val="14"/>
                <w:szCs w:val="14"/>
              </w:rPr>
              <w:lastRenderedPageBreak/>
              <w:t>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w:t>
            </w:r>
            <w:r w:rsidRPr="008D79FA">
              <w:rPr>
                <w:rFonts w:ascii="Arial Unicode MS" w:eastAsia="Arial Unicode MS" w:hAnsi="Arial Unicode MS" w:cs="Arial Unicode MS"/>
                <w:color w:val="595959" w:themeColor="text1" w:themeTint="A6"/>
                <w:sz w:val="14"/>
                <w:szCs w:val="14"/>
              </w:rPr>
              <w:lastRenderedPageBreak/>
              <w:t>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lastRenderedPageBreak/>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E976B1" w:rsidRPr="00CA4779" w:rsidRDefault="00E976B1" w:rsidP="00CA4779">
      <w:pPr>
        <w:ind w:firstLine="720"/>
        <w:rPr>
          <w:rFonts w:ascii="Arial Unicode MS" w:eastAsia="Arial Unicode MS" w:hAnsi="Arial Unicode MS" w:cs="Arial Unicode MS"/>
          <w:sz w:val="2"/>
          <w:szCs w:val="2"/>
        </w:rPr>
      </w:pPr>
    </w:p>
    <w:sectPr w:rsidR="00E976B1" w:rsidRPr="00CA4779"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8F" w:rsidRDefault="000E308F" w:rsidP="000F1700">
      <w:pPr>
        <w:spacing w:after="0" w:line="240" w:lineRule="auto"/>
      </w:pPr>
      <w:r>
        <w:separator/>
      </w:r>
    </w:p>
  </w:endnote>
  <w:endnote w:type="continuationSeparator" w:id="0">
    <w:p w:rsidR="000E308F" w:rsidRDefault="000E308F"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EB7C3E" w:rsidTr="00C83E5D">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720" w:type="dxa"/>
                  <w:hideMark/>
                </w:tcPr>
                <w:p w:rsidR="00EB7C3E" w:rsidRDefault="00EB7C3E"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7C29B5" w:rsidRDefault="00EB7C3E" w:rsidP="00CA4779">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926EE">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926EE">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3851055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28447326"/>
          <w:docPartObj>
            <w:docPartGallery w:val="Page Numbers (Top of Page)"/>
            <w:docPartUnique/>
          </w:docPartObj>
        </w:sdtPr>
        <w:sdtEndPr/>
        <w:sdtContent>
          <w:p w:rsidR="00EB7C3E" w:rsidRPr="007C29B5" w:rsidRDefault="00EB7C3E" w:rsidP="00CA4779">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926EE">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926EE">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EB7C3E" w:rsidTr="00A235BC">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810" w:type="dxa"/>
                  <w:hideMark/>
                </w:tcPr>
                <w:p w:rsidR="00EB7C3E" w:rsidRDefault="00EB7C3E"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EB139E" w:rsidRDefault="00EB7C3E" w:rsidP="00CA4779">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w:t>
            </w:r>
            <w:r w:rsidR="00CA4779">
              <w:rPr>
                <w:rFonts w:ascii="Arial Unicode MS" w:eastAsia="Arial Unicode MS" w:hAnsi="Arial Unicode MS" w:cs="Arial Unicode MS"/>
                <w:color w:val="595959" w:themeColor="text1" w:themeTint="A6"/>
                <w:sz w:val="16"/>
                <w:szCs w:val="16"/>
              </w:rPr>
              <w:t>8</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C926EE">
              <w:rPr>
                <w:rFonts w:ascii="Arial Unicode MS" w:eastAsia="Arial Unicode MS" w:hAnsi="Arial Unicode MS" w:cs="Arial Unicode MS"/>
                <w:noProof/>
                <w:color w:val="595959" w:themeColor="text1" w:themeTint="A6"/>
                <w:sz w:val="16"/>
                <w:szCs w:val="16"/>
              </w:rPr>
              <w:t>4</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C926EE">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8F" w:rsidRDefault="000E308F" w:rsidP="000F1700">
      <w:pPr>
        <w:spacing w:after="0" w:line="240" w:lineRule="auto"/>
      </w:pPr>
      <w:r>
        <w:separator/>
      </w:r>
    </w:p>
  </w:footnote>
  <w:footnote w:type="continuationSeparator" w:id="0">
    <w:p w:rsidR="000E308F" w:rsidRDefault="000E308F"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18262005" wp14:editId="09A7123F">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7D323BEC" wp14:editId="0B31C4A0">
                <wp:extent cx="1581912" cy="484632"/>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7C3E" w:rsidTr="0026608E">
      <w:trPr>
        <w:trHeight w:val="184"/>
      </w:trPr>
      <w:tc>
        <w:tcPr>
          <w:tcW w:w="2775" w:type="dxa"/>
        </w:tcPr>
        <w:p w:rsidR="00EB7C3E" w:rsidRDefault="00EB7C3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7C3E" w:rsidRPr="008D5E9B" w:rsidRDefault="00EB7C3E"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EB7C3E" w:rsidRPr="008D5E9B" w:rsidRDefault="00EB7C3E"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cumentProtection w:edit="forms" w:enforcement="1" w:cryptProviderType="rsaAES" w:cryptAlgorithmClass="hash" w:cryptAlgorithmType="typeAny" w:cryptAlgorithmSid="14" w:cryptSpinCount="100000" w:hash="EjJVPdJ4XwLsrDfip/p4lF3SdmlvvaaCgVOtGkXBgj7hDFni0vDSlBs7DI5SPuR1J58uZmA7m5WaQFWu/Bj/Fg==" w:salt="sXxvos+GXyRXPrp2Yup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308F"/>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A7BC2"/>
    <w:rsid w:val="007C29B5"/>
    <w:rsid w:val="007D010C"/>
    <w:rsid w:val="007D482D"/>
    <w:rsid w:val="007D7725"/>
    <w:rsid w:val="007E75FC"/>
    <w:rsid w:val="00800115"/>
    <w:rsid w:val="00803F90"/>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B2E22"/>
    <w:rsid w:val="008C5524"/>
    <w:rsid w:val="008D77C5"/>
    <w:rsid w:val="008E121B"/>
    <w:rsid w:val="008E3F14"/>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26EE"/>
    <w:rsid w:val="00C94A6A"/>
    <w:rsid w:val="00C976B1"/>
    <w:rsid w:val="00CA013A"/>
    <w:rsid w:val="00CA4779"/>
    <w:rsid w:val="00CA66F9"/>
    <w:rsid w:val="00CB29EC"/>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5000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1F3E-F6B3-479E-BB61-F7EB0F3B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16076</Words>
  <Characters>91636</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4</cp:revision>
  <cp:lastPrinted>2017-05-01T19:58:00Z</cp:lastPrinted>
  <dcterms:created xsi:type="dcterms:W3CDTF">2018-11-05T11:55:00Z</dcterms:created>
  <dcterms:modified xsi:type="dcterms:W3CDTF">2019-02-17T13:19:00Z</dcterms:modified>
</cp:coreProperties>
</file>